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BD" w:rsidRDefault="00AB48BD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C75058" w:rsidRPr="00AB2194" w:rsidRDefault="00C75058">
      <w:pPr>
        <w:rPr>
          <w:lang w:val="sq-AL"/>
        </w:rPr>
      </w:pPr>
    </w:p>
    <w:p w:rsidR="000E0539" w:rsidRPr="00AB2194" w:rsidRDefault="000E0539">
      <w:pPr>
        <w:rPr>
          <w:lang w:val="sq-AL"/>
        </w:rPr>
      </w:pPr>
    </w:p>
    <w:tbl>
      <w:tblPr>
        <w:tblStyle w:val="TableGrid"/>
        <w:tblW w:w="11465" w:type="dxa"/>
        <w:tblInd w:w="-980" w:type="dxa"/>
        <w:tblLayout w:type="fixed"/>
        <w:tblLook w:val="04A0" w:firstRow="1" w:lastRow="0" w:firstColumn="1" w:lastColumn="0" w:noHBand="0" w:noVBand="1"/>
      </w:tblPr>
      <w:tblGrid>
        <w:gridCol w:w="549"/>
        <w:gridCol w:w="1419"/>
        <w:gridCol w:w="1134"/>
        <w:gridCol w:w="1417"/>
        <w:gridCol w:w="4678"/>
        <w:gridCol w:w="1276"/>
        <w:gridCol w:w="992"/>
      </w:tblGrid>
      <w:tr w:rsidR="005E4EA0" w:rsidRPr="00AB2194" w:rsidTr="00895295">
        <w:trPr>
          <w:trHeight w:val="546"/>
        </w:trPr>
        <w:tc>
          <w:tcPr>
            <w:tcW w:w="549" w:type="dxa"/>
            <w:shd w:val="clear" w:color="auto" w:fill="9CC2E5" w:themeFill="accent1" w:themeFillTint="99"/>
          </w:tcPr>
          <w:p w:rsidR="0043268E" w:rsidRPr="00AB2194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Nr. Rendor</w:t>
            </w:r>
            <w:r w:rsidR="00B45E29"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DF38D5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</w:p>
        </w:tc>
        <w:tc>
          <w:tcPr>
            <w:tcW w:w="1419" w:type="dxa"/>
            <w:shd w:val="clear" w:color="auto" w:fill="9CC2E5" w:themeFill="accent1" w:themeFillTint="99"/>
          </w:tcPr>
          <w:p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kërkesës</w:t>
            </w:r>
            <w:r w:rsidR="00C417B2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2"/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43268E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Objekti i kërkesës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3"/>
            </w:r>
          </w:p>
          <w:p w:rsidR="00B45E29" w:rsidRPr="00AB2194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përgjigjes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4"/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5"/>
            </w:r>
          </w:p>
          <w:p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B45E29" w:rsidRPr="00AB2194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Mënyra e </w:t>
            </w:r>
            <w:r w:rsidR="00830BF9"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përfundimit të </w:t>
            </w:r>
            <w:r w:rsidR="00953906"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kërkesës</w:t>
            </w:r>
            <w:r w:rsidR="00DF38D5" w:rsidRPr="00AB2194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footnoteReference w:id="6"/>
            </w:r>
          </w:p>
        </w:tc>
        <w:tc>
          <w:tcPr>
            <w:tcW w:w="992" w:type="dxa"/>
            <w:shd w:val="clear" w:color="auto" w:fill="9CC2E5" w:themeFill="accent1" w:themeFillTint="99"/>
          </w:tcPr>
          <w:p w:rsidR="0043268E" w:rsidRPr="00AB2194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Tarifa</w:t>
            </w:r>
            <w:r w:rsidR="00DF38D5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7"/>
            </w:r>
          </w:p>
          <w:p w:rsidR="00B45E29" w:rsidRPr="00AB2194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E4EA0" w:rsidRPr="00AB2194" w:rsidTr="00895295">
        <w:trPr>
          <w:trHeight w:val="348"/>
        </w:trPr>
        <w:tc>
          <w:tcPr>
            <w:tcW w:w="549" w:type="dxa"/>
          </w:tcPr>
          <w:p w:rsidR="0043268E" w:rsidRPr="00AB2194" w:rsidRDefault="00173995">
            <w:pPr>
              <w:rPr>
                <w:lang w:val="sq-AL"/>
              </w:rPr>
            </w:pPr>
            <w:r w:rsidRPr="00AB2194">
              <w:rPr>
                <w:lang w:val="sq-AL"/>
              </w:rPr>
              <w:t>1</w:t>
            </w:r>
          </w:p>
        </w:tc>
        <w:tc>
          <w:tcPr>
            <w:tcW w:w="1419" w:type="dxa"/>
          </w:tcPr>
          <w:p w:rsidR="0043268E" w:rsidRPr="00895295" w:rsidRDefault="0077023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27.04.2023</w:t>
            </w:r>
          </w:p>
        </w:tc>
        <w:tc>
          <w:tcPr>
            <w:tcW w:w="1134" w:type="dxa"/>
          </w:tcPr>
          <w:p w:rsidR="0043268E" w:rsidRPr="00895295" w:rsidRDefault="00972C40" w:rsidP="00AB21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Kërkesë</w:t>
            </w:r>
            <w:r w:rsidR="00770237"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AB2194"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770237"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interpretim juridik t</w:t>
            </w:r>
            <w:r w:rsidR="00AB2194"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770237"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puseve t</w:t>
            </w:r>
            <w:r w:rsidR="00AB2194"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770237"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naft</w:t>
            </w:r>
            <w:r w:rsidR="00AB2194"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770237"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</w:p>
        </w:tc>
        <w:tc>
          <w:tcPr>
            <w:tcW w:w="1417" w:type="dxa"/>
          </w:tcPr>
          <w:p w:rsidR="0043268E" w:rsidRPr="00895295" w:rsidRDefault="0077023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08.05.2023</w:t>
            </w:r>
          </w:p>
        </w:tc>
        <w:tc>
          <w:tcPr>
            <w:tcW w:w="4678" w:type="dxa"/>
          </w:tcPr>
          <w:p w:rsidR="00AB2194" w:rsidRPr="00AB2194" w:rsidRDefault="00AB2194" w:rsidP="00AB21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përgjigje të shkresës tuaj me Nr. 2467 Prot., datë 19.04.2023 me lëndë “</w:t>
            </w:r>
            <w:r w:rsidRPr="00AB219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Kërkesë për interpretim juridik të pasurive “pus nafte” dhe të sipërfaqes së tyre “sipërfaqe pusi”, në vlerësim të taksave dhe tarifave vendore</w:t>
            </w:r>
            <w:r w:rsidRPr="00AB21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”, protokolluar nga Ministria e Financave dhe Ekonomisë me Nr. 7500 Prot., datë 24.04.2023, e cila është deleguar për kompetencë pranë  Drejtorisë së Përgjithshme të Taksës së Pasurisë (DPTP), protokolluar me tonën me Nr. 45 Prot., datë 27.04.2023, sqarojmë si vijon:</w:t>
            </w:r>
          </w:p>
          <w:p w:rsidR="00AB2194" w:rsidRPr="00AB2194" w:rsidRDefault="00AB2194" w:rsidP="00AB21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AB2194" w:rsidRPr="00AB2194" w:rsidRDefault="00AB2194" w:rsidP="00AB21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nenin  22/4, të ligjit Nr. 9632, datë 30.10.2006, “Për sistemin e taksave vendore” i  ndryshuar, është parashikuar se funksionet e Drejtorisë së Përgjithshme të Taksës së Pasurisë janë: </w:t>
            </w:r>
          </w:p>
          <w:p w:rsidR="00AB2194" w:rsidRPr="00AB2194" w:rsidRDefault="00AB2194" w:rsidP="00AB21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a) menaxhimi i regjistrit qendror të bazës së të dhënave të pasurive të paluajtshme (Kadastra Fiskale); </w:t>
            </w:r>
          </w:p>
          <w:p w:rsidR="00AB2194" w:rsidRPr="00AB2194" w:rsidRDefault="00AB2194" w:rsidP="00AB21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 xml:space="preserve">b) udhëheqja, nga pikëpamja metodologjike, në lidhje me administrimin e taksës mbi pasuritë e paluajtshme; </w:t>
            </w:r>
          </w:p>
          <w:p w:rsidR="00AB2194" w:rsidRPr="00AB2194" w:rsidRDefault="00AB2194" w:rsidP="00AB2194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/>
                <w:sz w:val="24"/>
                <w:szCs w:val="24"/>
                <w:lang w:val="sq-AL"/>
              </w:rPr>
              <w:t>c) vlerësimi i vlerës së pasurisë së paluajtshme për ndërtesat me metodat e përcaktuara me vendim të Këshillit të Ministrave, si dhe detyrimin për taksën e pasurisë ndërtesë.</w:t>
            </w:r>
          </w:p>
          <w:p w:rsidR="00AB2194" w:rsidRPr="00AB2194" w:rsidRDefault="00AB2194" w:rsidP="00AB21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/>
                <w:sz w:val="24"/>
                <w:szCs w:val="24"/>
                <w:lang w:val="sq-AL"/>
              </w:rPr>
              <w:t>Në nenin 22/5, të ligjit të sipërcituar janë përcaktuar përgjegjësitë e njësive të vetëqeverisjes vendore si më poshtë:</w:t>
            </w:r>
          </w:p>
          <w:p w:rsidR="00AB2194" w:rsidRPr="00AB2194" w:rsidRDefault="00AB2194" w:rsidP="00AB2194">
            <w:pPr>
              <w:pStyle w:val="Paragrafi"/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/>
                <w:sz w:val="24"/>
                <w:szCs w:val="24"/>
                <w:lang w:val="sq-AL"/>
              </w:rPr>
              <w:t>a) mbledhjen dhe menaxhimin e informacioneve mbi ndërtesën për qëllime fiskale;</w:t>
            </w:r>
          </w:p>
          <w:p w:rsidR="00AB2194" w:rsidRPr="00AB2194" w:rsidRDefault="00AB2194" w:rsidP="00AB2194">
            <w:pPr>
              <w:pStyle w:val="Paragrafi"/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b) përditësimin e të dhënave të </w:t>
            </w:r>
            <w:r w:rsidRPr="00AB219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regjistrit qendror të bazës së të dhënave të pasurive të paluajtshme (Kadastra Fiskale);</w:t>
            </w:r>
          </w:p>
          <w:p w:rsidR="00AB2194" w:rsidRPr="00AB2194" w:rsidRDefault="00AB2194" w:rsidP="00AB2194">
            <w:pPr>
              <w:pStyle w:val="Paragrafi"/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c) mbledhjen me forcë të detyrimeve të taksës mbi ndërtesën; </w:t>
            </w:r>
          </w:p>
          <w:p w:rsidR="00AB2194" w:rsidRPr="00AB2194" w:rsidRDefault="00AB2194" w:rsidP="00AB2194">
            <w:pPr>
              <w:pStyle w:val="Paragrafi"/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ç) korrigjimin e të dhënave në lidhje me llogaritjen e taksës, në rastet e saktësimit të informacionit për sipërfaqen, vendndodhjen zonale, çmimet e tregut etj.;</w:t>
            </w:r>
          </w:p>
          <w:p w:rsidR="00AB2194" w:rsidRPr="00AB2194" w:rsidRDefault="00AB2194" w:rsidP="00AB2194">
            <w:pPr>
              <w:pStyle w:val="Paragrafi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d) shqyrtimin e ankimit administrativ të taksapaguesve. </w:t>
            </w:r>
          </w:p>
          <w:p w:rsidR="00AB2194" w:rsidRPr="00AB2194" w:rsidRDefault="00AB2194" w:rsidP="00AB2194">
            <w:pPr>
              <w:pStyle w:val="Paragrafi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AB2194" w:rsidRPr="00AB2194" w:rsidRDefault="00AB2194" w:rsidP="00AB2194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pikën 3, të nenit 1 të VKM Nr. 132, datë 07.03.2018 “Për metodologjinë për përcaktimin e vlerës së taksueshme të pasurisë së paluajtshme “ndërtesa”, e bazës së taksës për kategori specifike, natyrën dhe prioritetin e informacionit dhe të dhënave për përcaktimin e bazës së taksës, si dhe të kritereve dhe rregullave për vlerësimin alternativ të detyrimit të taksës” parashikohet se ndërtesë është objekti/objektet e ndërtuara mbi/nën sipërfaqen e tokës ose të lidhura me tokën dhe që përfaqëson një strukturë ndërtimore me një ose më shumë njësi pronësore, e cila është </w:t>
            </w:r>
            <w:r w:rsidRPr="00AB2194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objekt i taksës mbi ndërtesën sipas përcaktimit të dhënë në ligj.</w:t>
            </w:r>
          </w:p>
          <w:p w:rsidR="00AB2194" w:rsidRPr="00AB2194" w:rsidRDefault="00AB2194" w:rsidP="00AB2194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/>
                <w:sz w:val="24"/>
                <w:szCs w:val="24"/>
                <w:lang w:val="sq-AL"/>
              </w:rPr>
              <w:t>Përsa i përket objektit të taksës së pasurisë së paluajtshme “truall”, në legjislacionin aktual për sistemin e taksave vendore nuk parashikohet përkufizim i termit “truall”. Megjithatë, në pikat 13 dhe 14, të nenit 5, të ligjit Nr. 133/2015 “Për trajtimin e pronës dhe përfundimin e procesit të kompensimit të pronave” i ndryshuar, parashikohet se:</w:t>
            </w:r>
          </w:p>
          <w:p w:rsidR="00AB2194" w:rsidRPr="00AB2194" w:rsidRDefault="00AB2194" w:rsidP="00AB21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“Truall”</w:t>
            </w:r>
            <w:r w:rsidRPr="00AB21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është toka që ndodhet brenda vijave kufizuese të qyteteve e qendrave të banuara në çastin e shpronësimit. Kur për qendrën e banuar nuk ka pasur vijë kufizuese, truall do të jetë sipërfaqja e tokës që zë objekti i ndërtuar mbi të dhe oborri funksional. Sipërfaqja e këtij të fundit llogaritet sa trefishi i sipërfaqes së objektit, por jo më shumë se 500 metra katrorë. </w:t>
            </w:r>
          </w:p>
          <w:p w:rsidR="00AB2194" w:rsidRPr="00AB2194" w:rsidRDefault="00AB2194" w:rsidP="00AB21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AB2194" w:rsidRPr="00AB2194" w:rsidRDefault="00AB2194" w:rsidP="00AB21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“Truall industrial”</w:t>
            </w:r>
            <w:r w:rsidRPr="00AB21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është sipërfaqja e tokës që ndodhej jashtë vijave kufizuese të qyteteve dhe qendrave të banuara në çastin e shpronësimit, mbi të cilën kanë qenë të ngritura objekte të përhershme ndërtimore për qëllime ekonomike ose që i shërbejnë funksionit të tyre. </w:t>
            </w:r>
          </w:p>
          <w:p w:rsidR="00AB2194" w:rsidRPr="00AB2194" w:rsidRDefault="00AB2194" w:rsidP="00AB21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AB2194" w:rsidRPr="00AB2194" w:rsidRDefault="00AB2194" w:rsidP="00AB21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Përsa më sipër, identifikimi dhe kategorizimi i pasurive të paluajtshme dhe klasifikimi i tyre sipas llojit të taksës së pasurisë së paluajtshme nuk është kompetencë e DPTP-së, por e njësive të vetëqeverisjes vendore pranë së cilës ndodhet pasuria e paluajtshme, si institucioni i cili administron taksën e pasurisë së paluajtshme në nivel vendor.</w:t>
            </w:r>
          </w:p>
          <w:p w:rsidR="00AB2194" w:rsidRPr="00AB2194" w:rsidRDefault="00AB2194" w:rsidP="00AB21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AB2194" w:rsidRPr="00AB2194" w:rsidRDefault="00AB2194" w:rsidP="00AB21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Gjithashtu, në mbështetje të neni 7 të ligjit nr. 9632, datë 30.10.2006  “Për sistemin e taksave vendore” i ndryshuar, taksapaguesi ka të drejtën e ankimit kundër vendimit apo veprimit </w:t>
            </w:r>
            <w:r w:rsidRPr="00AB21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të zyrës së taksave vendore pranë strukturës vendore të apelimit tatimor. </w:t>
            </w:r>
          </w:p>
          <w:p w:rsidR="0043268E" w:rsidRPr="00AB2194" w:rsidRDefault="0043268E" w:rsidP="00D90808">
            <w:pPr>
              <w:tabs>
                <w:tab w:val="left" w:pos="945"/>
              </w:tabs>
              <w:spacing w:line="276" w:lineRule="auto"/>
              <w:jc w:val="both"/>
              <w:rPr>
                <w:lang w:val="sq-AL"/>
              </w:rPr>
            </w:pPr>
          </w:p>
        </w:tc>
        <w:tc>
          <w:tcPr>
            <w:tcW w:w="1276" w:type="dxa"/>
          </w:tcPr>
          <w:p w:rsidR="0043268E" w:rsidRPr="00895295" w:rsidRDefault="00972C4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E plotë</w:t>
            </w:r>
          </w:p>
        </w:tc>
        <w:tc>
          <w:tcPr>
            <w:tcW w:w="992" w:type="dxa"/>
          </w:tcPr>
          <w:p w:rsidR="0043268E" w:rsidRPr="00895295" w:rsidRDefault="00972C4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Nuk ka</w:t>
            </w:r>
          </w:p>
        </w:tc>
      </w:tr>
      <w:tr w:rsidR="001A0CE6" w:rsidRPr="00AB2194" w:rsidTr="00895295">
        <w:trPr>
          <w:trHeight w:val="348"/>
        </w:trPr>
        <w:tc>
          <w:tcPr>
            <w:tcW w:w="549" w:type="dxa"/>
          </w:tcPr>
          <w:p w:rsidR="001A0CE6" w:rsidRPr="00AB2194" w:rsidRDefault="001A0CE6" w:rsidP="001A0CE6">
            <w:pPr>
              <w:rPr>
                <w:lang w:val="sq-AL"/>
              </w:rPr>
            </w:pPr>
            <w:r>
              <w:rPr>
                <w:lang w:val="sq-AL"/>
              </w:rPr>
              <w:lastRenderedPageBreak/>
              <w:t>2</w:t>
            </w:r>
          </w:p>
        </w:tc>
        <w:tc>
          <w:tcPr>
            <w:tcW w:w="1419" w:type="dxa"/>
          </w:tcPr>
          <w:p w:rsidR="001A0CE6" w:rsidRPr="00895295" w:rsidRDefault="001A0CE6" w:rsidP="001A0CE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4.10</w:t>
            </w:r>
            <w:r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.2023</w:t>
            </w:r>
          </w:p>
        </w:tc>
        <w:tc>
          <w:tcPr>
            <w:tcW w:w="1134" w:type="dxa"/>
          </w:tcPr>
          <w:p w:rsidR="001A0CE6" w:rsidRPr="00895295" w:rsidRDefault="001A0CE6" w:rsidP="001A0CE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Kërkesë për interpretim juridik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 akt marrëveshje</w:t>
            </w:r>
          </w:p>
        </w:tc>
        <w:tc>
          <w:tcPr>
            <w:tcW w:w="1417" w:type="dxa"/>
          </w:tcPr>
          <w:p w:rsidR="001A0CE6" w:rsidRPr="00895295" w:rsidRDefault="001A0CE6" w:rsidP="001A0CE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2.11</w:t>
            </w:r>
            <w:r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.2023</w:t>
            </w:r>
          </w:p>
        </w:tc>
        <w:tc>
          <w:tcPr>
            <w:tcW w:w="4678" w:type="dxa"/>
          </w:tcPr>
          <w:p w:rsidR="001A0CE6" w:rsidRPr="00A45EB6" w:rsidRDefault="001A0CE6" w:rsidP="001A0C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përgjigje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shkresës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datës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24.10.2023,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protokolluar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tonën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106 Prot.,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26.10.2023 me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lëndë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akt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marrëveshje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sqarojmë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vijon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A0CE6" w:rsidRPr="00A45EB6" w:rsidRDefault="001A0CE6" w:rsidP="001A0C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nenin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22/4,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ligjit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9632,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30.10.2006, “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sistemin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taksave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ndryshuar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parashikuar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“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Pasurisë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a)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menaxhon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regjistrin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qendror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bazës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dhënave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pasurive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Kadastra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Fiskale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b)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udhëheq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pikëpamja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metodologjike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lidhje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administrimin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pasuritë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c)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vlerëson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vlerën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pasurisë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ndërtesat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metodat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përcaktuara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vendim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Ministrave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detyrimin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taksën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pasurisë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ndërtesë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</w:p>
          <w:p w:rsidR="001A0CE6" w:rsidRPr="00A45EB6" w:rsidRDefault="001A0CE6" w:rsidP="001A0C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Gjithashtu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shkronjat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"ç"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"h",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pikës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VKM-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171,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28.03.2018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parashikohet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respektivisht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se: “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Pasurisë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monitoron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asiston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njësitë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vetëqeverisjes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procedurat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ndjekura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llogaritjen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bazës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taksueshme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pasurisë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qëllim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zbatimin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metodave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vlerësimit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vlerës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taksueshme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përcaktuara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metodologjinë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Ministrave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Pasurisë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asiston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njësitë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vetëqeverisjes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zbatimin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procedurave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vlerësimit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pasurisë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llogaritjes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to.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Trajnon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stafet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njësive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vetëqeverisjes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përgjegjëse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administrimin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pasuritë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</w:p>
          <w:p w:rsidR="001A0CE6" w:rsidRPr="00A45EB6" w:rsidRDefault="001A0CE6" w:rsidP="001A0C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Ndërkohë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nenin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22/5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ligjit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9632,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30.10.2006, “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sistemin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taksave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ndryshuar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parashikuar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njësia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vetëqeverisjes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autoriteti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përgjegjës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administrimin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ndërtesat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juridiksionin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përmes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ushtrimit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funksioneve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mëposhtme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a)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mbledhjen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menaxhimin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informacioneve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ndërtesën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qëllime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fiskale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b)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përditësimin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dhënave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regjistrit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qendror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bazës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dhënave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pasurive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Kadastra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Fiskale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c)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mbledhjen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forcë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detyrimeve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ndërtesën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ç)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korrigjimin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dhënave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lidhje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llogaritjen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rastet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saktësimit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informacionit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vendndodhjen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zonale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çmimet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tregut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etj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d)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shqyrtimin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ankimit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taksapaguesve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A0CE6" w:rsidRPr="00A45EB6" w:rsidRDefault="001A0CE6" w:rsidP="001A0C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Gjithashtu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pikën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nenit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ligjit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sipërcituar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parashikohet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“Me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përjashtim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rasteve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ligj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përcaktohet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shprehimisht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ndryshe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bashkiak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c)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përcakton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numrin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kësteve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pagimit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afatet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kryerjes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kushtet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lehtësuese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rastet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pagesës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plotë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përpara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afateve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detyrimeve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fiskale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1A0CE6" w:rsidRPr="00A45EB6" w:rsidRDefault="001A0CE6" w:rsidP="001A0C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Përsa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sipër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përsa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përket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lidhur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akt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marrëveshje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palët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detyrimet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prapambetura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zgjidhjen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problematikës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verifikimit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terren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kompetencë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DPTP-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kompetencë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njësive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vetëqeverisjes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juridiksionin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cilave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ndodhet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pasuria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institucioni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cili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administron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taksën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pasurisë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vendor. </w:t>
            </w:r>
          </w:p>
          <w:p w:rsidR="001A0CE6" w:rsidRPr="00AB2194" w:rsidRDefault="001A0CE6" w:rsidP="001A0C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1A0CE6" w:rsidRPr="00AB2194" w:rsidRDefault="001A0CE6" w:rsidP="001A0CE6">
            <w:pPr>
              <w:tabs>
                <w:tab w:val="left" w:pos="945"/>
              </w:tabs>
              <w:spacing w:line="276" w:lineRule="auto"/>
              <w:jc w:val="both"/>
              <w:rPr>
                <w:lang w:val="sq-AL"/>
              </w:rPr>
            </w:pPr>
          </w:p>
        </w:tc>
        <w:tc>
          <w:tcPr>
            <w:tcW w:w="1276" w:type="dxa"/>
          </w:tcPr>
          <w:p w:rsidR="001A0CE6" w:rsidRPr="00895295" w:rsidRDefault="001A0CE6" w:rsidP="001A0CE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E plotë</w:t>
            </w:r>
          </w:p>
        </w:tc>
        <w:tc>
          <w:tcPr>
            <w:tcW w:w="992" w:type="dxa"/>
          </w:tcPr>
          <w:p w:rsidR="001A0CE6" w:rsidRPr="00895295" w:rsidRDefault="001A0CE6" w:rsidP="001A0CE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bookmarkStart w:id="0" w:name="_GoBack"/>
            <w:bookmarkEnd w:id="0"/>
            <w:r w:rsidRPr="0089529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uk ka</w:t>
            </w:r>
          </w:p>
        </w:tc>
      </w:tr>
    </w:tbl>
    <w:p w:rsidR="00B45E29" w:rsidRPr="00AB2194" w:rsidRDefault="00B45E29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B219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sectPr w:rsidR="00B45E29" w:rsidRPr="00AB2194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2E" w:rsidRDefault="0080682E" w:rsidP="00C417B2">
      <w:pPr>
        <w:spacing w:after="0" w:line="240" w:lineRule="auto"/>
      </w:pPr>
      <w:r>
        <w:separator/>
      </w:r>
    </w:p>
  </w:endnote>
  <w:endnote w:type="continuationSeparator" w:id="0">
    <w:p w:rsidR="0080682E" w:rsidRDefault="0080682E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2E" w:rsidRDefault="0080682E" w:rsidP="00C417B2">
      <w:pPr>
        <w:spacing w:after="0" w:line="240" w:lineRule="auto"/>
      </w:pPr>
      <w:r>
        <w:separator/>
      </w:r>
    </w:p>
  </w:footnote>
  <w:footnote w:type="continuationSeparator" w:id="0">
    <w:p w:rsidR="0080682E" w:rsidRDefault="0080682E" w:rsidP="00C417B2">
      <w:pPr>
        <w:spacing w:after="0" w:line="240" w:lineRule="auto"/>
      </w:pPr>
      <w:r>
        <w:continuationSeparator/>
      </w:r>
    </w:p>
  </w:footnote>
  <w:footnote w:id="1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 w:rsidR="0095390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:rsidR="00C417B2" w:rsidRPr="00DF38D5" w:rsidRDefault="00C417B2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 w:rsidR="00953906"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sipas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parashikimeve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ligjore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në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830BF9">
        <w:rPr>
          <w:rFonts w:ascii="Times New Roman" w:hAnsi="Times New Roman" w:cs="Times New Roman"/>
        </w:rPr>
        <w:t>Përmbajtja</w:t>
      </w:r>
      <w:proofErr w:type="spellEnd"/>
      <w:r w:rsidR="00830BF9">
        <w:rPr>
          <w:rFonts w:ascii="Times New Roman" w:hAnsi="Times New Roman" w:cs="Times New Roman"/>
        </w:rPr>
        <w:t xml:space="preserve"> e </w:t>
      </w:r>
      <w:proofErr w:type="spellStart"/>
      <w:r w:rsidR="00830BF9">
        <w:rPr>
          <w:rFonts w:ascii="Times New Roman" w:hAnsi="Times New Roman" w:cs="Times New Roman"/>
          <w:bCs/>
        </w:rPr>
        <w:t>p</w:t>
      </w:r>
      <w:r w:rsidR="00DF38D5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 w:rsidR="00830BF9">
        <w:rPr>
          <w:rFonts w:ascii="Times New Roman" w:hAnsi="Times New Roman" w:cs="Times New Roman"/>
          <w:bCs/>
        </w:rPr>
        <w:t>es</w:t>
      </w:r>
      <w:proofErr w:type="spellEnd"/>
      <w:r w:rsidR="008560B1"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 w:rsidR="00E36927">
        <w:rPr>
          <w:rFonts w:ascii="Times New Roman" w:hAnsi="Times New Roman" w:cs="Times New Roman"/>
          <w:bCs/>
        </w:rPr>
        <w:t xml:space="preserve">u </w:t>
      </w:r>
      <w:proofErr w:type="spellStart"/>
      <w:r w:rsidR="00E36927" w:rsidRPr="00DF38D5">
        <w:rPr>
          <w:rFonts w:ascii="Times New Roman" w:hAnsi="Times New Roman" w:cs="Times New Roman"/>
          <w:bCs/>
        </w:rPr>
        <w:t>anonimizuar</w:t>
      </w:r>
      <w:proofErr w:type="spellEnd"/>
      <w:r w:rsidR="00E36927"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sipas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parashikimeve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ligjore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në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Përgjigja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jepet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="00246DF7">
        <w:rPr>
          <w:rFonts w:ascii="Times New Roman" w:hAnsi="Times New Roman" w:cs="Times New Roman"/>
        </w:rPr>
        <w:t>plotë</w:t>
      </w:r>
      <w:proofErr w:type="spellEnd"/>
      <w:r w:rsidRPr="00DF38D5">
        <w:rPr>
          <w:rFonts w:ascii="Times New Roman" w:hAnsi="Times New Roman" w:cs="Times New Roman"/>
        </w:rPr>
        <w:t xml:space="preserve">/ E </w:t>
      </w:r>
      <w:proofErr w:type="spellStart"/>
      <w:r w:rsidRPr="00DF38D5">
        <w:rPr>
          <w:rFonts w:ascii="Times New Roman" w:hAnsi="Times New Roman" w:cs="Times New Roman"/>
        </w:rPr>
        <w:t>kufizuar</w:t>
      </w:r>
      <w:proofErr w:type="spellEnd"/>
      <w:r w:rsidRPr="00DF38D5">
        <w:rPr>
          <w:rFonts w:ascii="Times New Roman" w:hAnsi="Times New Roman" w:cs="Times New Roman"/>
        </w:rPr>
        <w:t>/</w:t>
      </w:r>
      <w:r w:rsidR="00246DF7">
        <w:rPr>
          <w:rFonts w:ascii="Times New Roman" w:hAnsi="Times New Roman" w:cs="Times New Roman"/>
        </w:rPr>
        <w:t xml:space="preserve"> </w:t>
      </w:r>
      <w:r w:rsidR="00246DF7" w:rsidRPr="00DF38D5">
        <w:rPr>
          <w:rFonts w:ascii="Times New Roman" w:hAnsi="Times New Roman" w:cs="Times New Roman"/>
        </w:rPr>
        <w:t xml:space="preserve">E </w:t>
      </w:r>
      <w:proofErr w:type="spellStart"/>
      <w:r w:rsidR="00246DF7" w:rsidRPr="00DF38D5">
        <w:rPr>
          <w:rFonts w:ascii="Times New Roman" w:hAnsi="Times New Roman" w:cs="Times New Roman"/>
        </w:rPr>
        <w:t>refuzuar</w:t>
      </w:r>
      <w:proofErr w:type="spellEnd"/>
      <w:r w:rsidR="00246DF7" w:rsidRPr="00DF38D5">
        <w:rPr>
          <w:rFonts w:ascii="Times New Roman" w:hAnsi="Times New Roman" w:cs="Times New Roman"/>
        </w:rPr>
        <w:t>/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Pr="00DF38D5">
        <w:rPr>
          <w:rFonts w:ascii="Times New Roman" w:hAnsi="Times New Roman" w:cs="Times New Roman"/>
        </w:rPr>
        <w:t>deleguar</w:t>
      </w:r>
      <w:proofErr w:type="spellEnd"/>
    </w:p>
  </w:footnote>
  <w:footnote w:id="7">
    <w:p w:rsidR="00DF38D5" w:rsidRDefault="00DF38D5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</w:t>
      </w:r>
      <w:r w:rsidR="00AA5385" w:rsidRPr="00DF38D5">
        <w:rPr>
          <w:rFonts w:ascii="Times New Roman" w:hAnsi="Times New Roman" w:cs="Times New Roman"/>
          <w:lang w:val="it-IT"/>
        </w:rPr>
        <w:t xml:space="preserve">dhe </w:t>
      </w:r>
      <w:r w:rsidR="008560B1"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</w:t>
      </w:r>
      <w:r w:rsidR="00AA5385"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64C24"/>
    <w:multiLevelType w:val="hybridMultilevel"/>
    <w:tmpl w:val="AC70F9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7"/>
    <w:rsid w:val="00033159"/>
    <w:rsid w:val="000548CD"/>
    <w:rsid w:val="000972CB"/>
    <w:rsid w:val="000E0539"/>
    <w:rsid w:val="000F245E"/>
    <w:rsid w:val="00134F00"/>
    <w:rsid w:val="0016587F"/>
    <w:rsid w:val="00173995"/>
    <w:rsid w:val="001A0CE6"/>
    <w:rsid w:val="001C17F3"/>
    <w:rsid w:val="001D3B66"/>
    <w:rsid w:val="001D7988"/>
    <w:rsid w:val="0021270B"/>
    <w:rsid w:val="00227DB2"/>
    <w:rsid w:val="00246DF7"/>
    <w:rsid w:val="0025458A"/>
    <w:rsid w:val="00256DCC"/>
    <w:rsid w:val="002745FB"/>
    <w:rsid w:val="002A07F2"/>
    <w:rsid w:val="002E5657"/>
    <w:rsid w:val="002F25BB"/>
    <w:rsid w:val="002F4931"/>
    <w:rsid w:val="00302D5F"/>
    <w:rsid w:val="00372170"/>
    <w:rsid w:val="003F78F7"/>
    <w:rsid w:val="0042349A"/>
    <w:rsid w:val="00423DEF"/>
    <w:rsid w:val="004256FF"/>
    <w:rsid w:val="004262FD"/>
    <w:rsid w:val="0043268E"/>
    <w:rsid w:val="0047653C"/>
    <w:rsid w:val="004F0B5B"/>
    <w:rsid w:val="00581BEA"/>
    <w:rsid w:val="005B44B6"/>
    <w:rsid w:val="005D167A"/>
    <w:rsid w:val="005E3F62"/>
    <w:rsid w:val="005E4EA0"/>
    <w:rsid w:val="006277FD"/>
    <w:rsid w:val="00640F0E"/>
    <w:rsid w:val="00644275"/>
    <w:rsid w:val="006739FB"/>
    <w:rsid w:val="00714F62"/>
    <w:rsid w:val="007328B6"/>
    <w:rsid w:val="007335CE"/>
    <w:rsid w:val="00770237"/>
    <w:rsid w:val="007E493B"/>
    <w:rsid w:val="0080682E"/>
    <w:rsid w:val="00822F90"/>
    <w:rsid w:val="00830BF9"/>
    <w:rsid w:val="008560B1"/>
    <w:rsid w:val="00895295"/>
    <w:rsid w:val="008B42D1"/>
    <w:rsid w:val="008C1F02"/>
    <w:rsid w:val="008C79E8"/>
    <w:rsid w:val="008E2CFE"/>
    <w:rsid w:val="009303E2"/>
    <w:rsid w:val="00953906"/>
    <w:rsid w:val="00972C40"/>
    <w:rsid w:val="0099345C"/>
    <w:rsid w:val="009A132D"/>
    <w:rsid w:val="009A6313"/>
    <w:rsid w:val="009C555D"/>
    <w:rsid w:val="00A24C88"/>
    <w:rsid w:val="00A36EBE"/>
    <w:rsid w:val="00A964E0"/>
    <w:rsid w:val="00AA5385"/>
    <w:rsid w:val="00AB2194"/>
    <w:rsid w:val="00AB48BD"/>
    <w:rsid w:val="00AB6C52"/>
    <w:rsid w:val="00AD19BD"/>
    <w:rsid w:val="00AD2861"/>
    <w:rsid w:val="00AE2615"/>
    <w:rsid w:val="00B154B0"/>
    <w:rsid w:val="00B30C05"/>
    <w:rsid w:val="00B45E29"/>
    <w:rsid w:val="00B57530"/>
    <w:rsid w:val="00B74BA9"/>
    <w:rsid w:val="00B8307B"/>
    <w:rsid w:val="00BE1E92"/>
    <w:rsid w:val="00BF6803"/>
    <w:rsid w:val="00C060DD"/>
    <w:rsid w:val="00C07326"/>
    <w:rsid w:val="00C34E24"/>
    <w:rsid w:val="00C35726"/>
    <w:rsid w:val="00C417B2"/>
    <w:rsid w:val="00C461C6"/>
    <w:rsid w:val="00C7393C"/>
    <w:rsid w:val="00C75058"/>
    <w:rsid w:val="00C852C8"/>
    <w:rsid w:val="00CA03A7"/>
    <w:rsid w:val="00CB6255"/>
    <w:rsid w:val="00CF1D79"/>
    <w:rsid w:val="00D41F11"/>
    <w:rsid w:val="00D90808"/>
    <w:rsid w:val="00DD538C"/>
    <w:rsid w:val="00DE26E2"/>
    <w:rsid w:val="00DF38D5"/>
    <w:rsid w:val="00E034D3"/>
    <w:rsid w:val="00E047E9"/>
    <w:rsid w:val="00E11894"/>
    <w:rsid w:val="00E36927"/>
    <w:rsid w:val="00E868C6"/>
    <w:rsid w:val="00F01433"/>
    <w:rsid w:val="00F07D7D"/>
    <w:rsid w:val="00F13C0A"/>
    <w:rsid w:val="00F20D0A"/>
    <w:rsid w:val="00F276FA"/>
    <w:rsid w:val="00F44ADF"/>
    <w:rsid w:val="00F47755"/>
    <w:rsid w:val="00FA08DB"/>
    <w:rsid w:val="00FA68B8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8D945-23A7-4085-924A-7A48327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56FF"/>
    <w:pPr>
      <w:spacing w:after="8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fi">
    <w:name w:val="Paragrafi"/>
    <w:link w:val="ParagrafiChar"/>
    <w:rsid w:val="00AB2194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customStyle="1" w:styleId="ParagrafiChar">
    <w:name w:val="Paragrafi Char"/>
    <w:link w:val="Paragrafi"/>
    <w:rsid w:val="00AB2194"/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2D3BC-8E6F-47D3-8650-AE9CFEBD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33</cp:revision>
  <dcterms:created xsi:type="dcterms:W3CDTF">2020-06-04T11:54:00Z</dcterms:created>
  <dcterms:modified xsi:type="dcterms:W3CDTF">2024-01-30T13:31:00Z</dcterms:modified>
</cp:coreProperties>
</file>