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BF6F0" w14:textId="77777777"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14:paraId="187D44E9" w14:textId="77777777"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14:paraId="18C94B88" w14:textId="77777777" w:rsidR="00C75058" w:rsidRPr="00AB2194" w:rsidRDefault="00C75058">
      <w:pPr>
        <w:rPr>
          <w:lang w:val="sq-AL"/>
        </w:rPr>
      </w:pPr>
    </w:p>
    <w:p w14:paraId="7D634C50" w14:textId="77777777" w:rsidR="000E0539" w:rsidRPr="00AB2194" w:rsidRDefault="000E0539">
      <w:pPr>
        <w:rPr>
          <w:lang w:val="sq-AL"/>
        </w:rPr>
      </w:pPr>
    </w:p>
    <w:tbl>
      <w:tblPr>
        <w:tblStyle w:val="TableGrid"/>
        <w:tblW w:w="11465" w:type="dxa"/>
        <w:tblInd w:w="-980" w:type="dxa"/>
        <w:tblLayout w:type="fixed"/>
        <w:tblLook w:val="04A0" w:firstRow="1" w:lastRow="0" w:firstColumn="1" w:lastColumn="0" w:noHBand="0" w:noVBand="1"/>
      </w:tblPr>
      <w:tblGrid>
        <w:gridCol w:w="549"/>
        <w:gridCol w:w="1349"/>
        <w:gridCol w:w="1260"/>
        <w:gridCol w:w="1361"/>
        <w:gridCol w:w="4678"/>
        <w:gridCol w:w="1276"/>
        <w:gridCol w:w="992"/>
      </w:tblGrid>
      <w:tr w:rsidR="005E4EA0" w:rsidRPr="00AB2194" w14:paraId="2DD88647" w14:textId="77777777" w:rsidTr="00497B72">
        <w:trPr>
          <w:trHeight w:val="546"/>
        </w:trPr>
        <w:tc>
          <w:tcPr>
            <w:tcW w:w="549" w:type="dxa"/>
            <w:shd w:val="clear" w:color="auto" w:fill="9CC2E5" w:themeFill="accent1" w:themeFillTint="99"/>
          </w:tcPr>
          <w:p w14:paraId="657383D5" w14:textId="77777777" w:rsidR="0043268E" w:rsidRPr="00AB2194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Nr. Rendor</w:t>
            </w:r>
            <w:r w:rsidR="00B45E29"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</w:p>
        </w:tc>
        <w:tc>
          <w:tcPr>
            <w:tcW w:w="1349" w:type="dxa"/>
            <w:shd w:val="clear" w:color="auto" w:fill="9CC2E5" w:themeFill="accent1" w:themeFillTint="99"/>
          </w:tcPr>
          <w:p w14:paraId="1B957C71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kërkesës</w:t>
            </w:r>
            <w:r w:rsidR="00C417B2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50D3AA68" w14:textId="77777777" w:rsidR="0043268E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Objekti i kërkesës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  <w:p w14:paraId="633D29D3" w14:textId="77777777"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3C7A7FE2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61" w:type="dxa"/>
            <w:shd w:val="clear" w:color="auto" w:fill="9CC2E5" w:themeFill="accent1" w:themeFillTint="99"/>
          </w:tcPr>
          <w:p w14:paraId="4288E116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përgjigjes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</w:p>
        </w:tc>
        <w:tc>
          <w:tcPr>
            <w:tcW w:w="4678" w:type="dxa"/>
            <w:shd w:val="clear" w:color="auto" w:fill="9CC2E5" w:themeFill="accent1" w:themeFillTint="99"/>
          </w:tcPr>
          <w:p w14:paraId="182FD69F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5"/>
            </w:r>
          </w:p>
          <w:p w14:paraId="7E494C21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14:paraId="5CFA7AEF" w14:textId="77777777" w:rsidR="00B45E29" w:rsidRPr="00AB2194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Mënyra e </w:t>
            </w:r>
            <w:r w:rsidR="00830BF9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përfundimit të </w:t>
            </w:r>
            <w:r w:rsidR="00953906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kërkesës</w:t>
            </w:r>
            <w:r w:rsidR="00DF38D5" w:rsidRPr="00AB219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footnoteReference w:id="6"/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104B00DD" w14:textId="77777777" w:rsidR="0043268E" w:rsidRPr="00AB2194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Tarifa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7"/>
            </w:r>
          </w:p>
          <w:p w14:paraId="286CD030" w14:textId="77777777"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717B9A3A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97B72" w:rsidRPr="00497B72" w14:paraId="2A279CA0" w14:textId="77777777" w:rsidTr="00497B72">
        <w:trPr>
          <w:trHeight w:val="348"/>
        </w:trPr>
        <w:tc>
          <w:tcPr>
            <w:tcW w:w="549" w:type="dxa"/>
          </w:tcPr>
          <w:p w14:paraId="102D3EC2" w14:textId="5C582322" w:rsidR="00D22ACD" w:rsidRPr="00497B72" w:rsidRDefault="00D22ACD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>1</w:t>
            </w:r>
          </w:p>
        </w:tc>
        <w:tc>
          <w:tcPr>
            <w:tcW w:w="1349" w:type="dxa"/>
          </w:tcPr>
          <w:p w14:paraId="32CD601C" w14:textId="3C48C2D1" w:rsidR="00D22ACD" w:rsidRPr="00497B72" w:rsidRDefault="00D22ACD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>03.02.2025</w:t>
            </w:r>
          </w:p>
        </w:tc>
        <w:tc>
          <w:tcPr>
            <w:tcW w:w="1260" w:type="dxa"/>
          </w:tcPr>
          <w:p w14:paraId="0BECDE87" w14:textId="27E27ABF" w:rsidR="00D22ACD" w:rsidRPr="00497B72" w:rsidRDefault="00BC7A56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Kërkesë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interpretim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pacing w:val="-2"/>
                <w:sz w:val="24"/>
              </w:rPr>
              <w:t>ligjor</w:t>
            </w:r>
            <w:proofErr w:type="spellEnd"/>
          </w:p>
        </w:tc>
        <w:tc>
          <w:tcPr>
            <w:tcW w:w="1361" w:type="dxa"/>
          </w:tcPr>
          <w:p w14:paraId="1921980B" w14:textId="4E66A23E" w:rsidR="00D22ACD" w:rsidRPr="00497B72" w:rsidRDefault="00D22ACD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>10.02.2025</w:t>
            </w:r>
          </w:p>
        </w:tc>
        <w:tc>
          <w:tcPr>
            <w:tcW w:w="4678" w:type="dxa"/>
          </w:tcPr>
          <w:p w14:paraId="7E2B57D2" w14:textId="77777777" w:rsidR="00BC7A56" w:rsidRPr="00497B72" w:rsidRDefault="00BC7A56" w:rsidP="00497B72">
            <w:pPr>
              <w:pStyle w:val="BodyText"/>
              <w:spacing w:before="168" w:line="276" w:lineRule="auto"/>
              <w:jc w:val="both"/>
              <w:rPr>
                <w:sz w:val="24"/>
                <w:szCs w:val="22"/>
              </w:rPr>
            </w:pPr>
            <w:r w:rsidRPr="00497B72">
              <w:rPr>
                <w:sz w:val="24"/>
                <w:szCs w:val="22"/>
              </w:rPr>
              <w:t>Në</w:t>
            </w:r>
            <w:r w:rsidRPr="00497B72">
              <w:rPr>
                <w:spacing w:val="-2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përgjigje të kërkesës suaj</w:t>
            </w:r>
            <w:r w:rsidRPr="00497B72">
              <w:rPr>
                <w:spacing w:val="-1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Nr. 1734 Prot., datë 03.02.2025 me lëndë</w:t>
            </w:r>
            <w:r w:rsidRPr="00497B72">
              <w:rPr>
                <w:spacing w:val="-2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"Kërkesë për interpretim</w:t>
            </w:r>
            <w:r w:rsidRPr="00497B72">
              <w:rPr>
                <w:spacing w:val="27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ligjor", protokolluar me tonën me Nr. 57/2,</w:t>
            </w:r>
            <w:r w:rsidRPr="00497B72">
              <w:rPr>
                <w:spacing w:val="-3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datë 05.02.2025, ju informojmë si më poshtë vijon:</w:t>
            </w:r>
          </w:p>
          <w:p w14:paraId="5FD5119E" w14:textId="63F50577" w:rsidR="00BC7A56" w:rsidRPr="00497B72" w:rsidRDefault="00BC7A56" w:rsidP="00497B72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89"/>
              </w:tabs>
              <w:autoSpaceDE w:val="0"/>
              <w:autoSpaceDN w:val="0"/>
              <w:spacing w:before="165" w:after="0" w:line="280" w:lineRule="auto"/>
              <w:ind w:right="697"/>
              <w:jc w:val="both"/>
              <w:rPr>
                <w:b/>
                <w:i/>
              </w:rPr>
            </w:pPr>
            <w:proofErr w:type="spellStart"/>
            <w:r w:rsidRPr="00497B72">
              <w:t>Përsa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i</w:t>
            </w:r>
            <w:proofErr w:type="spellEnd"/>
            <w:r w:rsidRPr="00497B72">
              <w:rPr>
                <w:spacing w:val="-1"/>
              </w:rPr>
              <w:t xml:space="preserve"> </w:t>
            </w:r>
            <w:proofErr w:type="spellStart"/>
            <w:r w:rsidRPr="00497B72">
              <w:t>përket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çështjes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së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ngritur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në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shkresën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tuaj</w:t>
            </w:r>
            <w:proofErr w:type="spellEnd"/>
            <w:r w:rsidRPr="00497B72">
              <w:t xml:space="preserve"> se ne DTVV </w:t>
            </w:r>
            <w:proofErr w:type="spellStart"/>
            <w:r w:rsidRPr="00497B72">
              <w:t>rezultojnë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pasuritë</w:t>
            </w:r>
            <w:proofErr w:type="spellEnd"/>
            <w:r w:rsidRPr="00497B72">
              <w:t xml:space="preserve"> e </w:t>
            </w:r>
            <w:proofErr w:type="spellStart"/>
            <w:r w:rsidRPr="00497B72">
              <w:t>paluajtshme</w:t>
            </w:r>
            <w:proofErr w:type="spellEnd"/>
            <w:r w:rsidRPr="00497B72">
              <w:rPr>
                <w:spacing w:val="-5"/>
              </w:rPr>
              <w:t xml:space="preserve"> </w:t>
            </w:r>
            <w:proofErr w:type="spellStart"/>
            <w:r w:rsidRPr="00497B72">
              <w:t>të</w:t>
            </w:r>
            <w:proofErr w:type="spellEnd"/>
            <w:r w:rsidRPr="00497B72">
              <w:t xml:space="preserve"> </w:t>
            </w:r>
            <w:proofErr w:type="spellStart"/>
            <w:r w:rsidRPr="00497B72">
              <w:rPr>
                <w:w w:val="105"/>
              </w:rPr>
              <w:t>cilat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mund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të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jenë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të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paregjistruara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në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sistem</w:t>
            </w:r>
            <w:proofErr w:type="spellEnd"/>
            <w:r w:rsidRPr="00497B72">
              <w:rPr>
                <w:w w:val="105"/>
              </w:rPr>
              <w:t xml:space="preserve">, </w:t>
            </w:r>
            <w:proofErr w:type="spellStart"/>
            <w:r w:rsidRPr="00497B72">
              <w:rPr>
                <w:w w:val="105"/>
              </w:rPr>
              <w:t>sqarojmë</w:t>
            </w:r>
            <w:proofErr w:type="spellEnd"/>
            <w:r w:rsidRPr="00497B72">
              <w:rPr>
                <w:w w:val="105"/>
              </w:rPr>
              <w:t xml:space="preserve"> se </w:t>
            </w:r>
            <w:proofErr w:type="spellStart"/>
            <w:r w:rsidRPr="00497B72">
              <w:rPr>
                <w:w w:val="105"/>
              </w:rPr>
              <w:t>bazuar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në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nenin</w:t>
            </w:r>
            <w:proofErr w:type="spellEnd"/>
            <w:r w:rsidRPr="00497B72">
              <w:rPr>
                <w:w w:val="105"/>
              </w:rPr>
              <w:t xml:space="preserve"> 22/5, </w:t>
            </w:r>
            <w:proofErr w:type="spellStart"/>
            <w:r w:rsidRPr="00497B72">
              <w:rPr>
                <w:w w:val="105"/>
              </w:rPr>
              <w:t>të</w:t>
            </w:r>
            <w:proofErr w:type="spellEnd"/>
            <w:r w:rsidRPr="00497B72">
              <w:rPr>
                <w:spacing w:val="40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Ligjit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Nr</w:t>
            </w:r>
            <w:proofErr w:type="spellEnd"/>
            <w:r w:rsidRPr="00497B72">
              <w:rPr>
                <w:w w:val="105"/>
              </w:rPr>
              <w:t xml:space="preserve">. </w:t>
            </w:r>
            <w:r w:rsidRPr="00497B72">
              <w:t>9632/2006,</w:t>
            </w:r>
            <w:r w:rsidRPr="00497B72">
              <w:rPr>
                <w:spacing w:val="-15"/>
              </w:rPr>
              <w:t xml:space="preserve"> </w:t>
            </w:r>
            <w:r w:rsidRPr="00497B72">
              <w:t>"</w:t>
            </w:r>
            <w:proofErr w:type="spellStart"/>
            <w:r w:rsidRPr="00497B72">
              <w:t>Për</w:t>
            </w:r>
            <w:proofErr w:type="spellEnd"/>
            <w:r w:rsidRPr="00497B72">
              <w:rPr>
                <w:spacing w:val="-14"/>
              </w:rPr>
              <w:t xml:space="preserve"> </w:t>
            </w:r>
            <w:proofErr w:type="spellStart"/>
            <w:r w:rsidRPr="00497B72">
              <w:t>sistemin</w:t>
            </w:r>
            <w:proofErr w:type="spellEnd"/>
            <w:r w:rsidRPr="00497B72">
              <w:rPr>
                <w:spacing w:val="9"/>
              </w:rPr>
              <w:t xml:space="preserve"> </w:t>
            </w:r>
            <w:r w:rsidRPr="00497B72">
              <w:t>e</w:t>
            </w:r>
            <w:r w:rsidRPr="00497B72">
              <w:rPr>
                <w:spacing w:val="-9"/>
              </w:rPr>
              <w:t xml:space="preserve"> </w:t>
            </w:r>
            <w:proofErr w:type="spellStart"/>
            <w:r w:rsidRPr="00497B72">
              <w:t>taksave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vendore</w:t>
            </w:r>
            <w:proofErr w:type="spellEnd"/>
            <w:r w:rsidRPr="00497B72">
              <w:t>",</w:t>
            </w:r>
            <w:r w:rsidRPr="00497B72">
              <w:rPr>
                <w:spacing w:val="-15"/>
              </w:rPr>
              <w:t xml:space="preserve"> </w:t>
            </w:r>
            <w:proofErr w:type="spellStart"/>
            <w:r w:rsidRPr="00497B72">
              <w:t>i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ndryshuar</w:t>
            </w:r>
            <w:proofErr w:type="spellEnd"/>
            <w:r w:rsidRPr="00497B72">
              <w:rPr>
                <w:spacing w:val="15"/>
              </w:rPr>
              <w:t xml:space="preserve"> </w:t>
            </w:r>
            <w:proofErr w:type="spellStart"/>
            <w:r w:rsidRPr="00497B72">
              <w:t>dhe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në</w:t>
            </w:r>
            <w:proofErr w:type="spellEnd"/>
            <w:r w:rsidRPr="00497B72">
              <w:rPr>
                <w:spacing w:val="-3"/>
              </w:rPr>
              <w:t xml:space="preserve"> </w:t>
            </w:r>
            <w:proofErr w:type="spellStart"/>
            <w:r w:rsidRPr="00497B72">
              <w:t>pikat</w:t>
            </w:r>
            <w:proofErr w:type="spellEnd"/>
            <w:r w:rsidRPr="00497B72">
              <w:rPr>
                <w:spacing w:val="-2"/>
              </w:rPr>
              <w:t xml:space="preserve"> </w:t>
            </w:r>
            <w:r w:rsidRPr="00497B72">
              <w:t>5,</w:t>
            </w:r>
            <w:r w:rsidRPr="00497B72">
              <w:rPr>
                <w:spacing w:val="-10"/>
              </w:rPr>
              <w:t xml:space="preserve"> </w:t>
            </w:r>
            <w:r w:rsidRPr="00497B72">
              <w:t>7</w:t>
            </w:r>
            <w:r w:rsidRPr="00497B72">
              <w:rPr>
                <w:spacing w:val="-3"/>
              </w:rPr>
              <w:t xml:space="preserve"> </w:t>
            </w:r>
            <w:proofErr w:type="spellStart"/>
            <w:r w:rsidRPr="00497B72">
              <w:t>dhe</w:t>
            </w:r>
            <w:proofErr w:type="spellEnd"/>
            <w:r w:rsidRPr="00497B72">
              <w:rPr>
                <w:spacing w:val="-5"/>
              </w:rPr>
              <w:t xml:space="preserve"> </w:t>
            </w:r>
            <w:r w:rsidRPr="00497B72">
              <w:t>8,</w:t>
            </w:r>
            <w:r w:rsidRPr="00497B72">
              <w:rPr>
                <w:spacing w:val="-9"/>
              </w:rPr>
              <w:t xml:space="preserve"> </w:t>
            </w:r>
            <w:proofErr w:type="spellStart"/>
            <w:r w:rsidRPr="00497B72">
              <w:t>të</w:t>
            </w:r>
            <w:proofErr w:type="spellEnd"/>
            <w:r w:rsidRPr="00497B72">
              <w:rPr>
                <w:spacing w:val="-1"/>
              </w:rPr>
              <w:t xml:space="preserve"> </w:t>
            </w:r>
            <w:proofErr w:type="spellStart"/>
            <w:r w:rsidRPr="00497B72">
              <w:t>nenit</w:t>
            </w:r>
            <w:proofErr w:type="spellEnd"/>
            <w:r w:rsidRPr="00497B72">
              <w:t xml:space="preserve"> 2,</w:t>
            </w:r>
            <w:r w:rsidRPr="00497B72">
              <w:rPr>
                <w:spacing w:val="-11"/>
              </w:rPr>
              <w:t xml:space="preserve"> </w:t>
            </w:r>
            <w:proofErr w:type="spellStart"/>
            <w:r w:rsidRPr="00497B72">
              <w:t>të</w:t>
            </w:r>
            <w:proofErr w:type="spellEnd"/>
            <w:r w:rsidRPr="00497B72">
              <w:rPr>
                <w:spacing w:val="-2"/>
              </w:rPr>
              <w:t xml:space="preserve"> </w:t>
            </w:r>
            <w:r w:rsidRPr="00497B72">
              <w:t xml:space="preserve">VKM </w:t>
            </w:r>
            <w:proofErr w:type="spellStart"/>
            <w:r w:rsidRPr="00497B72">
              <w:rPr>
                <w:w w:val="105"/>
              </w:rPr>
              <w:t>Nr</w:t>
            </w:r>
            <w:proofErr w:type="spellEnd"/>
            <w:r w:rsidRPr="00497B72">
              <w:rPr>
                <w:w w:val="105"/>
              </w:rPr>
              <w:t>.</w:t>
            </w:r>
            <w:r w:rsidRPr="00497B72">
              <w:rPr>
                <w:spacing w:val="-16"/>
                <w:w w:val="105"/>
              </w:rPr>
              <w:t xml:space="preserve"> </w:t>
            </w:r>
            <w:r w:rsidRPr="00497B72">
              <w:rPr>
                <w:w w:val="105"/>
              </w:rPr>
              <w:t>132,</w:t>
            </w:r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datë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r w:rsidRPr="00497B72">
              <w:rPr>
                <w:w w:val="105"/>
              </w:rPr>
              <w:t>7.3.2,018,</w:t>
            </w:r>
            <w:r w:rsidRPr="00497B72">
              <w:rPr>
                <w:spacing w:val="-15"/>
                <w:w w:val="105"/>
              </w:rPr>
              <w:t xml:space="preserve"> </w:t>
            </w:r>
            <w:r w:rsidRPr="00497B72">
              <w:rPr>
                <w:w w:val="105"/>
              </w:rPr>
              <w:t>"</w:t>
            </w:r>
            <w:proofErr w:type="spellStart"/>
            <w:r w:rsidRPr="00497B72">
              <w:rPr>
                <w:w w:val="105"/>
              </w:rPr>
              <w:t>Për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metodologjinë</w:t>
            </w:r>
            <w:proofErr w:type="spellEnd"/>
            <w:r w:rsidRPr="00497B72">
              <w:rPr>
                <w:spacing w:val="-13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për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përcaktimin</w:t>
            </w:r>
            <w:proofErr w:type="spellEnd"/>
            <w:r w:rsidRPr="00497B72">
              <w:rPr>
                <w:spacing w:val="-7"/>
                <w:w w:val="105"/>
              </w:rPr>
              <w:t xml:space="preserve"> </w:t>
            </w:r>
            <w:r w:rsidRPr="00497B72">
              <w:rPr>
                <w:w w:val="105"/>
              </w:rPr>
              <w:t>e</w:t>
            </w:r>
            <w:r w:rsidRPr="00497B72">
              <w:rPr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vlerës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së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taksueshme</w:t>
            </w:r>
            <w:proofErr w:type="spellEnd"/>
            <w:r w:rsidRPr="00497B72">
              <w:rPr>
                <w:spacing w:val="-8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të</w:t>
            </w:r>
            <w:proofErr w:type="spellEnd"/>
            <w:r w:rsidRPr="00497B72">
              <w:rPr>
                <w:spacing w:val="12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pasurisë</w:t>
            </w:r>
            <w:proofErr w:type="spellEnd"/>
            <w:r w:rsidRPr="00497B72">
              <w:rPr>
                <w:spacing w:val="-14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së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paluajtshme</w:t>
            </w:r>
            <w:proofErr w:type="spellEnd"/>
            <w:r w:rsidRPr="00497B72">
              <w:rPr>
                <w:w w:val="105"/>
              </w:rPr>
              <w:t xml:space="preserve"> "</w:t>
            </w:r>
            <w:proofErr w:type="spellStart"/>
            <w:r w:rsidRPr="00497B72">
              <w:rPr>
                <w:w w:val="105"/>
              </w:rPr>
              <w:t>ndërtesa</w:t>
            </w:r>
            <w:proofErr w:type="spellEnd"/>
            <w:r w:rsidRPr="00497B72">
              <w:rPr>
                <w:w w:val="105"/>
              </w:rPr>
              <w:t xml:space="preserve">", e </w:t>
            </w:r>
            <w:proofErr w:type="spellStart"/>
            <w:r w:rsidRPr="00497B72">
              <w:rPr>
                <w:w w:val="105"/>
              </w:rPr>
              <w:t>bazës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së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taksës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për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kategori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lastRenderedPageBreak/>
              <w:t>specifike</w:t>
            </w:r>
            <w:proofErr w:type="spellEnd"/>
            <w:r w:rsidRPr="00497B72">
              <w:rPr>
                <w:w w:val="105"/>
              </w:rPr>
              <w:t xml:space="preserve">, </w:t>
            </w:r>
            <w:proofErr w:type="spellStart"/>
            <w:r w:rsidRPr="00497B72">
              <w:rPr>
                <w:w w:val="105"/>
              </w:rPr>
              <w:t>natyrën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dhe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prioritetin</w:t>
            </w:r>
            <w:proofErr w:type="spellEnd"/>
            <w:r w:rsidRPr="00497B72">
              <w:rPr>
                <w:w w:val="105"/>
              </w:rPr>
              <w:t xml:space="preserve"> e </w:t>
            </w:r>
            <w:proofErr w:type="spellStart"/>
            <w:r w:rsidRPr="00497B72">
              <w:rPr>
                <w:w w:val="105"/>
              </w:rPr>
              <w:t>informacionit</w:t>
            </w:r>
            <w:proofErr w:type="spellEnd"/>
            <w:r w:rsidRPr="00497B72">
              <w:rPr>
                <w:spacing w:val="-11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dhe</w:t>
            </w:r>
            <w:proofErr w:type="spellEnd"/>
            <w:r w:rsidRPr="00497B72">
              <w:rPr>
                <w:spacing w:val="-13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të</w:t>
            </w:r>
            <w:proofErr w:type="spellEnd"/>
            <w:r w:rsidRPr="00497B72">
              <w:rPr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dhënave</w:t>
            </w:r>
            <w:proofErr w:type="spellEnd"/>
            <w:r w:rsidRPr="00497B72">
              <w:rPr>
                <w:spacing w:val="-6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për</w:t>
            </w:r>
            <w:proofErr w:type="spellEnd"/>
            <w:r w:rsidRPr="00497B72">
              <w:rPr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përcaktimin</w:t>
            </w:r>
            <w:proofErr w:type="spellEnd"/>
            <w:r w:rsidRPr="00497B72">
              <w:rPr>
                <w:spacing w:val="-4"/>
                <w:w w:val="105"/>
              </w:rPr>
              <w:t xml:space="preserve"> </w:t>
            </w:r>
            <w:r w:rsidRPr="00497B72">
              <w:rPr>
                <w:w w:val="105"/>
              </w:rPr>
              <w:t>e</w:t>
            </w:r>
            <w:r w:rsidRPr="00497B72">
              <w:rPr>
                <w:spacing w:val="-13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bazës</w:t>
            </w:r>
            <w:proofErr w:type="spellEnd"/>
            <w:r w:rsidRPr="00497B72">
              <w:rPr>
                <w:spacing w:val="-13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së</w:t>
            </w:r>
            <w:proofErr w:type="spellEnd"/>
            <w:r w:rsidRPr="00497B72">
              <w:rPr>
                <w:spacing w:val="-12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taksës</w:t>
            </w:r>
            <w:proofErr w:type="spellEnd"/>
            <w:r w:rsidRPr="00497B72">
              <w:rPr>
                <w:w w:val="105"/>
              </w:rPr>
              <w:t>,</w:t>
            </w:r>
            <w:r w:rsidRPr="00497B72">
              <w:rPr>
                <w:spacing w:val="-11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si</w:t>
            </w:r>
            <w:proofErr w:type="spellEnd"/>
            <w:r w:rsidRPr="00497B72">
              <w:rPr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dhe</w:t>
            </w:r>
            <w:proofErr w:type="spellEnd"/>
            <w:r w:rsidRPr="00497B72">
              <w:rPr>
                <w:spacing w:val="-12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të</w:t>
            </w:r>
            <w:proofErr w:type="spellEnd"/>
            <w:r w:rsidRPr="00497B72">
              <w:rPr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kritereve</w:t>
            </w:r>
            <w:proofErr w:type="spellEnd"/>
            <w:r w:rsidRPr="00497B72">
              <w:rPr>
                <w:spacing w:val="-4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dhe</w:t>
            </w:r>
            <w:proofErr w:type="spellEnd"/>
            <w:r w:rsidRPr="00497B72">
              <w:rPr>
                <w:spacing w:val="27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rregullave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t>për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vleresimin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altenativ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të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detyrimit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të</w:t>
            </w:r>
            <w:proofErr w:type="spellEnd"/>
            <w:r w:rsidRPr="00497B72">
              <w:rPr>
                <w:spacing w:val="-2"/>
              </w:rPr>
              <w:t xml:space="preserve"> </w:t>
            </w:r>
            <w:proofErr w:type="spellStart"/>
            <w:r w:rsidRPr="00497B72">
              <w:t>taksës</w:t>
            </w:r>
            <w:proofErr w:type="spellEnd"/>
            <w:r w:rsidRPr="00497B72">
              <w:t>",</w:t>
            </w:r>
            <w:r w:rsidRPr="00497B72">
              <w:rPr>
                <w:spacing w:val="-7"/>
              </w:rPr>
              <w:t xml:space="preserve"> </w:t>
            </w:r>
            <w:proofErr w:type="spellStart"/>
            <w:r w:rsidRPr="00497B72">
              <w:t>i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ndryshuar</w:t>
            </w:r>
            <w:proofErr w:type="spellEnd"/>
            <w:r w:rsidRPr="00497B72">
              <w:t xml:space="preserve">, </w:t>
            </w:r>
            <w:proofErr w:type="spellStart"/>
            <w:r w:rsidRPr="00497B72">
              <w:rPr>
                <w:b/>
              </w:rPr>
              <w:t>njësia</w:t>
            </w:r>
            <w:proofErr w:type="spellEnd"/>
            <w:r w:rsidRPr="00497B72">
              <w:rPr>
                <w:b/>
              </w:rPr>
              <w:t xml:space="preserve"> e</w:t>
            </w:r>
            <w:r w:rsidRPr="00497B72">
              <w:rPr>
                <w:b/>
                <w:spacing w:val="-8"/>
              </w:rPr>
              <w:t xml:space="preserve"> </w:t>
            </w:r>
            <w:proofErr w:type="spellStart"/>
            <w:r w:rsidRPr="00497B72">
              <w:rPr>
                <w:b/>
              </w:rPr>
              <w:t>vetëqeverisjes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vendore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është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autoriteti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përgjegjës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për</w:t>
            </w:r>
            <w:proofErr w:type="spellEnd"/>
            <w:r w:rsidRPr="00497B72">
              <w:rPr>
                <w:b/>
                <w:spacing w:val="-14"/>
              </w:rPr>
              <w:t xml:space="preserve"> </w:t>
            </w:r>
            <w:proofErr w:type="spellStart"/>
            <w:r w:rsidRPr="00497B72">
              <w:rPr>
                <w:b/>
              </w:rPr>
              <w:t>administrimin</w:t>
            </w:r>
            <w:proofErr w:type="spellEnd"/>
            <w:r w:rsidRPr="00497B72">
              <w:rPr>
                <w:b/>
              </w:rPr>
              <w:t xml:space="preserve"> e</w:t>
            </w:r>
            <w:r w:rsidRPr="00497B72">
              <w:rPr>
                <w:b/>
                <w:spacing w:val="-6"/>
              </w:rPr>
              <w:t xml:space="preserve"> </w:t>
            </w:r>
            <w:proofErr w:type="spellStart"/>
            <w:r w:rsidRPr="00497B72">
              <w:rPr>
                <w:b/>
              </w:rPr>
              <w:t>taksës</w:t>
            </w:r>
            <w:proofErr w:type="spellEnd"/>
            <w:r w:rsidRPr="00497B72">
              <w:rPr>
                <w:b/>
                <w:spacing w:val="-4"/>
              </w:rPr>
              <w:t xml:space="preserve"> </w:t>
            </w:r>
            <w:proofErr w:type="spellStart"/>
            <w:r w:rsidRPr="00497B72">
              <w:rPr>
                <w:b/>
              </w:rPr>
              <w:t>mbi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ndërtesat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nën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juridiksionin</w:t>
            </w:r>
            <w:proofErr w:type="spellEnd"/>
            <w:r w:rsidRPr="00497B72">
              <w:rPr>
                <w:b/>
              </w:rPr>
              <w:t xml:space="preserve"> e</w:t>
            </w:r>
            <w:r w:rsidRPr="00497B72">
              <w:rPr>
                <w:b/>
                <w:spacing w:val="-2"/>
              </w:rPr>
              <w:t xml:space="preserve"> </w:t>
            </w:r>
            <w:proofErr w:type="spellStart"/>
            <w:r w:rsidRPr="00497B72">
              <w:rPr>
                <w:b/>
              </w:rPr>
              <w:t>saj</w:t>
            </w:r>
            <w:proofErr w:type="spellEnd"/>
            <w:r w:rsidRPr="00497B72">
              <w:rPr>
                <w:b/>
              </w:rPr>
              <w:t>,</w:t>
            </w:r>
            <w:r w:rsidRPr="00497B72">
              <w:rPr>
                <w:b/>
                <w:spacing w:val="-2"/>
              </w:rPr>
              <w:t xml:space="preserve"> </w:t>
            </w:r>
            <w:proofErr w:type="spellStart"/>
            <w:r w:rsidRPr="00497B72">
              <w:rPr>
                <w:b/>
              </w:rPr>
              <w:t>përmes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mbledhjes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dhe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menaxhimit</w:t>
            </w:r>
            <w:proofErr w:type="spellEnd"/>
            <w:r w:rsidRPr="00497B72">
              <w:rPr>
                <w:b/>
                <w:spacing w:val="25"/>
              </w:rPr>
              <w:t xml:space="preserve"> </w:t>
            </w:r>
            <w:proofErr w:type="spellStart"/>
            <w:r w:rsidRPr="00497B72">
              <w:rPr>
                <w:b/>
              </w:rPr>
              <w:t>të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informacioneve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mbi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ndërtesën</w:t>
            </w:r>
            <w:proofErr w:type="spellEnd"/>
            <w:r w:rsidRPr="00497B72">
              <w:rPr>
                <w:b/>
                <w:spacing w:val="29"/>
              </w:rPr>
              <w:t xml:space="preserve"> </w:t>
            </w:r>
            <w:proofErr w:type="spellStart"/>
            <w:r w:rsidRPr="00497B72">
              <w:rPr>
                <w:b/>
              </w:rPr>
              <w:t>për</w:t>
            </w:r>
            <w:proofErr w:type="spellEnd"/>
            <w:r w:rsidRPr="00497B72">
              <w:rPr>
                <w:b/>
                <w:spacing w:val="-5"/>
              </w:rPr>
              <w:t xml:space="preserve"> </w:t>
            </w:r>
            <w:proofErr w:type="spellStart"/>
            <w:r w:rsidRPr="00497B72">
              <w:rPr>
                <w:b/>
              </w:rPr>
              <w:t>qëllime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fiskale</w:t>
            </w:r>
            <w:proofErr w:type="spellEnd"/>
            <w:r w:rsidRPr="00497B72">
              <w:rPr>
                <w:b/>
              </w:rPr>
              <w:t xml:space="preserve">, </w:t>
            </w:r>
            <w:proofErr w:type="spellStart"/>
            <w:r w:rsidRPr="00497B72">
              <w:rPr>
                <w:b/>
              </w:rPr>
              <w:t>si</w:t>
            </w:r>
            <w:proofErr w:type="spellEnd"/>
            <w:r w:rsidRPr="00497B72">
              <w:rPr>
                <w:b/>
                <w:spacing w:val="40"/>
              </w:rPr>
              <w:t xml:space="preserve"> </w:t>
            </w:r>
            <w:proofErr w:type="spellStart"/>
            <w:r w:rsidRPr="00497B72">
              <w:rPr>
                <w:b/>
              </w:rPr>
              <w:t>dhe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njësia</w:t>
            </w:r>
            <w:proofErr w:type="spellEnd"/>
            <w:r w:rsidRPr="00497B72">
              <w:rPr>
                <w:b/>
              </w:rPr>
              <w:t xml:space="preserve"> </w:t>
            </w:r>
            <w:r w:rsidRPr="00497B72">
              <w:rPr>
                <w:b/>
                <w:w w:val="105"/>
              </w:rPr>
              <w:t xml:space="preserve">e </w:t>
            </w:r>
            <w:proofErr w:type="spellStart"/>
            <w:r w:rsidRPr="00497B72">
              <w:rPr>
                <w:b/>
                <w:w w:val="105"/>
              </w:rPr>
              <w:t>vetëqeverisjes</w:t>
            </w:r>
            <w:proofErr w:type="spellEnd"/>
            <w:r w:rsidRPr="00497B72">
              <w:rPr>
                <w:b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vendore</w:t>
            </w:r>
            <w:proofErr w:type="spellEnd"/>
            <w:r w:rsidRPr="00497B72">
              <w:rPr>
                <w:b/>
                <w:w w:val="105"/>
              </w:rPr>
              <w:t xml:space="preserve"> duke </w:t>
            </w:r>
            <w:proofErr w:type="spellStart"/>
            <w:r w:rsidRPr="00497B72">
              <w:rPr>
                <w:b/>
                <w:w w:val="105"/>
              </w:rPr>
              <w:t>përdorur</w:t>
            </w:r>
            <w:proofErr w:type="spellEnd"/>
            <w:r w:rsidRPr="00497B72">
              <w:rPr>
                <w:b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të</w:t>
            </w:r>
            <w:proofErr w:type="spellEnd"/>
            <w:r w:rsidRPr="00497B72">
              <w:rPr>
                <w:b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dhënat</w:t>
            </w:r>
            <w:proofErr w:type="spellEnd"/>
            <w:r w:rsidRPr="00497B72">
              <w:rPr>
                <w:b/>
                <w:w w:val="105"/>
              </w:rPr>
              <w:t xml:space="preserve"> e </w:t>
            </w:r>
            <w:proofErr w:type="spellStart"/>
            <w:r w:rsidRPr="00497B72">
              <w:rPr>
                <w:b/>
                <w:w w:val="105"/>
              </w:rPr>
              <w:t>mbledhura</w:t>
            </w:r>
            <w:proofErr w:type="spellEnd"/>
            <w:r w:rsidRPr="00497B72">
              <w:rPr>
                <w:b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për</w:t>
            </w:r>
            <w:proofErr w:type="spellEnd"/>
            <w:r w:rsidRPr="00497B72">
              <w:rPr>
                <w:b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ndërtesën</w:t>
            </w:r>
            <w:proofErr w:type="spellEnd"/>
            <w:r w:rsidRPr="00497B72">
              <w:rPr>
                <w:b/>
                <w:w w:val="105"/>
              </w:rPr>
              <w:t>/</w:t>
            </w:r>
            <w:proofErr w:type="spellStart"/>
            <w:r w:rsidRPr="00497B72">
              <w:rPr>
                <w:b/>
                <w:w w:val="105"/>
              </w:rPr>
              <w:t>njësinë</w:t>
            </w:r>
            <w:proofErr w:type="spellEnd"/>
            <w:r w:rsidRPr="00497B72">
              <w:rPr>
                <w:b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pasurore</w:t>
            </w:r>
            <w:proofErr w:type="spellEnd"/>
            <w:r w:rsidRPr="00497B72">
              <w:rPr>
                <w:b/>
                <w:w w:val="105"/>
              </w:rPr>
              <w:t>,</w:t>
            </w:r>
            <w:r w:rsidRPr="00497B72">
              <w:rPr>
                <w:b/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përcakton</w:t>
            </w:r>
            <w:proofErr w:type="spellEnd"/>
            <w:r w:rsidRPr="00497B72">
              <w:rPr>
                <w:b/>
                <w:spacing w:val="-2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bazën</w:t>
            </w:r>
            <w:proofErr w:type="spellEnd"/>
            <w:r w:rsidRPr="00497B72">
              <w:rPr>
                <w:b/>
                <w:spacing w:val="-9"/>
                <w:w w:val="105"/>
              </w:rPr>
              <w:t xml:space="preserve"> </w:t>
            </w:r>
            <w:r w:rsidRPr="00497B72">
              <w:rPr>
                <w:b/>
                <w:w w:val="105"/>
              </w:rPr>
              <w:t>e</w:t>
            </w:r>
            <w:r w:rsidRPr="00497B72">
              <w:rPr>
                <w:b/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taksës</w:t>
            </w:r>
            <w:proofErr w:type="spellEnd"/>
            <w:r w:rsidRPr="00497B72">
              <w:rPr>
                <w:b/>
                <w:spacing w:val="-13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dhe</w:t>
            </w:r>
            <w:proofErr w:type="spellEnd"/>
            <w:r w:rsidRPr="00497B72">
              <w:rPr>
                <w:b/>
                <w:spacing w:val="-13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llogarit</w:t>
            </w:r>
            <w:proofErr w:type="spellEnd"/>
            <w:r w:rsidRPr="00497B72">
              <w:rPr>
                <w:b/>
                <w:spacing w:val="-11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shumën</w:t>
            </w:r>
            <w:proofErr w:type="spellEnd"/>
            <w:r w:rsidRPr="00497B72">
              <w:rPr>
                <w:b/>
                <w:spacing w:val="-5"/>
                <w:w w:val="105"/>
              </w:rPr>
              <w:t xml:space="preserve"> </w:t>
            </w:r>
            <w:r w:rsidRPr="00497B72">
              <w:rPr>
                <w:b/>
                <w:w w:val="105"/>
              </w:rPr>
              <w:t>e</w:t>
            </w:r>
            <w:r w:rsidRPr="00497B72">
              <w:rPr>
                <w:b/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taksës</w:t>
            </w:r>
            <w:proofErr w:type="spellEnd"/>
            <w:r w:rsidRPr="00497B72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vjetore</w:t>
            </w:r>
            <w:proofErr w:type="spellEnd"/>
            <w:r w:rsidRPr="00497B72">
              <w:rPr>
                <w:b/>
                <w:spacing w:val="-11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të</w:t>
            </w:r>
            <w:proofErr w:type="spellEnd"/>
            <w:r w:rsidRPr="00497B72">
              <w:rPr>
                <w:b/>
                <w:spacing w:val="-14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ndërtesës</w:t>
            </w:r>
            <w:proofErr w:type="spellEnd"/>
            <w:r w:rsidRPr="00497B72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për</w:t>
            </w:r>
            <w:proofErr w:type="spellEnd"/>
            <w:r w:rsidRPr="00497B72">
              <w:rPr>
                <w:b/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b/>
                <w:w w:val="105"/>
              </w:rPr>
              <w:t>t'u</w:t>
            </w:r>
            <w:proofErr w:type="spellEnd"/>
            <w:r w:rsidRPr="00497B72">
              <w:rPr>
                <w:b/>
                <w:w w:val="105"/>
              </w:rPr>
              <w:t xml:space="preserve"> </w:t>
            </w:r>
            <w:proofErr w:type="spellStart"/>
            <w:r w:rsidRPr="00497B72">
              <w:rPr>
                <w:b/>
              </w:rPr>
              <w:t>paguar</w:t>
            </w:r>
            <w:proofErr w:type="spellEnd"/>
            <w:r w:rsidRPr="00497B72">
              <w:rPr>
                <w:b/>
              </w:rPr>
              <w:t xml:space="preserve"> </w:t>
            </w:r>
            <w:proofErr w:type="spellStart"/>
            <w:r w:rsidRPr="00497B72">
              <w:rPr>
                <w:b/>
              </w:rPr>
              <w:t>nga</w:t>
            </w:r>
            <w:proofErr w:type="spellEnd"/>
            <w:r w:rsidRPr="00497B72">
              <w:rPr>
                <w:b/>
                <w:spacing w:val="40"/>
              </w:rPr>
              <w:t xml:space="preserve"> </w:t>
            </w:r>
            <w:proofErr w:type="spellStart"/>
            <w:r w:rsidRPr="00497B72">
              <w:rPr>
                <w:b/>
                <w:spacing w:val="40"/>
              </w:rPr>
              <w:t>ç</w:t>
            </w:r>
            <w:r w:rsidRPr="00497B72">
              <w:rPr>
                <w:b/>
              </w:rPr>
              <w:t>do</w:t>
            </w:r>
            <w:proofErr w:type="spellEnd"/>
            <w:r w:rsidRPr="00497B72">
              <w:rPr>
                <w:b/>
                <w:spacing w:val="40"/>
              </w:rPr>
              <w:t xml:space="preserve"> </w:t>
            </w:r>
            <w:proofErr w:type="spellStart"/>
            <w:r w:rsidRPr="00497B72">
              <w:rPr>
                <w:b/>
              </w:rPr>
              <w:t>taksapagues</w:t>
            </w:r>
            <w:proofErr w:type="spellEnd"/>
            <w:r w:rsidRPr="00497B72">
              <w:rPr>
                <w:b/>
              </w:rPr>
              <w:t xml:space="preserve">. </w:t>
            </w:r>
            <w:proofErr w:type="spellStart"/>
            <w:r w:rsidRPr="00497B72">
              <w:t>Gjithashtu</w:t>
            </w:r>
            <w:proofErr w:type="spellEnd"/>
            <w:r w:rsidRPr="00497B72">
              <w:t>,</w:t>
            </w:r>
            <w:r w:rsidRPr="00497B72">
              <w:rPr>
                <w:spacing w:val="-10"/>
              </w:rPr>
              <w:t xml:space="preserve"> </w:t>
            </w:r>
            <w:proofErr w:type="spellStart"/>
            <w:r w:rsidRPr="00497B72">
              <w:t>bazuar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në</w:t>
            </w:r>
            <w:proofErr w:type="spellEnd"/>
            <w:r w:rsidRPr="00497B72">
              <w:rPr>
                <w:spacing w:val="-11"/>
              </w:rPr>
              <w:t xml:space="preserve"> </w:t>
            </w:r>
            <w:proofErr w:type="spellStart"/>
            <w:r w:rsidRPr="00497B72">
              <w:t>pikat</w:t>
            </w:r>
            <w:proofErr w:type="spellEnd"/>
            <w:r w:rsidRPr="00497B72">
              <w:rPr>
                <w:spacing w:val="-4"/>
              </w:rPr>
              <w:t xml:space="preserve"> </w:t>
            </w:r>
            <w:r w:rsidRPr="00497B72">
              <w:t>2</w:t>
            </w:r>
            <w:r w:rsidRPr="00497B72">
              <w:rPr>
                <w:spacing w:val="-11"/>
              </w:rPr>
              <w:t xml:space="preserve"> </w:t>
            </w:r>
            <w:proofErr w:type="spellStart"/>
            <w:r w:rsidRPr="00497B72">
              <w:t>dhe</w:t>
            </w:r>
            <w:proofErr w:type="spellEnd"/>
            <w:r w:rsidRPr="00497B72">
              <w:rPr>
                <w:spacing w:val="-6"/>
              </w:rPr>
              <w:t xml:space="preserve"> </w:t>
            </w:r>
            <w:r w:rsidRPr="00497B72">
              <w:t>6,</w:t>
            </w:r>
            <w:r w:rsidRPr="00497B72">
              <w:rPr>
                <w:spacing w:val="-12"/>
              </w:rPr>
              <w:t xml:space="preserve"> </w:t>
            </w:r>
            <w:proofErr w:type="spellStart"/>
            <w:r w:rsidRPr="00497B72">
              <w:t>të</w:t>
            </w:r>
            <w:proofErr w:type="spellEnd"/>
            <w:r w:rsidRPr="00497B72">
              <w:rPr>
                <w:spacing w:val="-1"/>
              </w:rPr>
              <w:t xml:space="preserve"> </w:t>
            </w:r>
            <w:r w:rsidRPr="00497B72">
              <w:t>VKM</w:t>
            </w:r>
            <w:r w:rsidRPr="00497B72">
              <w:rPr>
                <w:spacing w:val="-3"/>
              </w:rPr>
              <w:t xml:space="preserve"> </w:t>
            </w:r>
            <w:r w:rsidRPr="00497B72">
              <w:t>Nr.</w:t>
            </w:r>
            <w:r w:rsidRPr="00497B72">
              <w:rPr>
                <w:spacing w:val="-5"/>
              </w:rPr>
              <w:t xml:space="preserve"> </w:t>
            </w:r>
            <w:r w:rsidRPr="00497B72">
              <w:t>273,</w:t>
            </w:r>
            <w:r w:rsidRPr="00497B72">
              <w:rPr>
                <w:spacing w:val="-12"/>
              </w:rPr>
              <w:t xml:space="preserve"> </w:t>
            </w:r>
            <w:proofErr w:type="spellStart"/>
            <w:r w:rsidRPr="00497B72">
              <w:t>datë</w:t>
            </w:r>
            <w:proofErr w:type="spellEnd"/>
            <w:r w:rsidRPr="00497B72">
              <w:t xml:space="preserve"> 16.5.2018, </w:t>
            </w:r>
            <w:r w:rsidRPr="00497B72">
              <w:rPr>
                <w:w w:val="105"/>
              </w:rPr>
              <w:t>"</w:t>
            </w:r>
            <w:proofErr w:type="spellStart"/>
            <w:r w:rsidRPr="00497B72">
              <w:rPr>
                <w:w w:val="105"/>
              </w:rPr>
              <w:t>Për</w:t>
            </w:r>
            <w:proofErr w:type="spellEnd"/>
            <w:r w:rsidRPr="00497B72">
              <w:rPr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krijimin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r w:rsidRPr="00497B72">
              <w:rPr>
                <w:w w:val="105"/>
              </w:rPr>
              <w:t>e</w:t>
            </w:r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regjistrit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qëndror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të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bazës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së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të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dhënave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për</w:t>
            </w:r>
            <w:proofErr w:type="spellEnd"/>
            <w:r w:rsidRPr="00497B72">
              <w:rPr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llogaritjen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r w:rsidRPr="00497B72">
              <w:rPr>
                <w:w w:val="105"/>
              </w:rPr>
              <w:t>e</w:t>
            </w:r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taksës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vendore</w:t>
            </w:r>
            <w:proofErr w:type="spellEnd"/>
            <w:r w:rsidRPr="00497B72">
              <w:rPr>
                <w:spacing w:val="-3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të</w:t>
            </w:r>
            <w:proofErr w:type="spellEnd"/>
            <w:r w:rsidRPr="00497B72">
              <w:rPr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w w:val="105"/>
              </w:rPr>
              <w:t>pasurisë</w:t>
            </w:r>
            <w:proofErr w:type="spellEnd"/>
            <w:r w:rsidRPr="00497B72">
              <w:rPr>
                <w:w w:val="105"/>
              </w:rPr>
              <w:t xml:space="preserve"> </w:t>
            </w:r>
            <w:proofErr w:type="spellStart"/>
            <w:r w:rsidRPr="00497B72">
              <w:t>së</w:t>
            </w:r>
            <w:proofErr w:type="spellEnd"/>
            <w:r w:rsidRPr="00497B72">
              <w:rPr>
                <w:spacing w:val="-10"/>
              </w:rPr>
              <w:t xml:space="preserve"> </w:t>
            </w:r>
            <w:proofErr w:type="spellStart"/>
            <w:r w:rsidRPr="00497B72">
              <w:t>paluajtshme</w:t>
            </w:r>
            <w:proofErr w:type="spellEnd"/>
            <w:r w:rsidRPr="00497B72">
              <w:t xml:space="preserve"> "</w:t>
            </w:r>
            <w:proofErr w:type="spellStart"/>
            <w:r w:rsidRPr="00497B72">
              <w:t>ndërtesë</w:t>
            </w:r>
            <w:proofErr w:type="spellEnd"/>
            <w:r w:rsidRPr="00497B72">
              <w:t>" (</w:t>
            </w:r>
            <w:proofErr w:type="spellStart"/>
            <w:r w:rsidRPr="00497B72">
              <w:t>Kadastra</w:t>
            </w:r>
            <w:proofErr w:type="spellEnd"/>
            <w:r w:rsidRPr="00497B72">
              <w:t xml:space="preserve"> </w:t>
            </w:r>
            <w:proofErr w:type="spellStart"/>
            <w:r w:rsidRPr="00497B72">
              <w:t>Fiskale</w:t>
            </w:r>
            <w:proofErr w:type="spellEnd"/>
            <w:r w:rsidRPr="00497B72">
              <w:rPr>
                <w:b/>
                <w:i/>
              </w:rPr>
              <w:t xml:space="preserve">)" </w:t>
            </w:r>
            <w:proofErr w:type="spellStart"/>
            <w:r w:rsidRPr="00497B72">
              <w:rPr>
                <w:b/>
                <w:i/>
              </w:rPr>
              <w:t>popullimi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i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vazhdueshëm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i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të</w:t>
            </w:r>
            <w:proofErr w:type="spellEnd"/>
            <w:r w:rsidRPr="00497B72">
              <w:rPr>
                <w:b/>
                <w:i/>
                <w:spacing w:val="-12"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dhënave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në</w:t>
            </w:r>
            <w:proofErr w:type="spellEnd"/>
            <w:r w:rsidRPr="00497B72">
              <w:rPr>
                <w:b/>
                <w:i/>
                <w:spacing w:val="40"/>
              </w:rPr>
              <w:t xml:space="preserve"> </w:t>
            </w:r>
            <w:r w:rsidRPr="00497B72">
              <w:rPr>
                <w:b/>
                <w:i/>
              </w:rPr>
              <w:t xml:space="preserve">RQTVPP, </w:t>
            </w:r>
            <w:proofErr w:type="spellStart"/>
            <w:r w:rsidRPr="00497B72">
              <w:rPr>
                <w:b/>
                <w:i/>
              </w:rPr>
              <w:t>për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efekt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të</w:t>
            </w:r>
            <w:proofErr w:type="spellEnd"/>
            <w:r w:rsidRPr="00497B72">
              <w:rPr>
                <w:b/>
                <w:i/>
                <w:spacing w:val="-8"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vlerësimit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të</w:t>
            </w:r>
            <w:proofErr w:type="spellEnd"/>
            <w:r w:rsidRPr="00497B72">
              <w:rPr>
                <w:b/>
                <w:i/>
                <w:spacing w:val="-10"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bazës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së</w:t>
            </w:r>
            <w:proofErr w:type="spellEnd"/>
            <w:r w:rsidRPr="00497B72">
              <w:rPr>
                <w:b/>
                <w:i/>
                <w:spacing w:val="-14"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taksueshme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për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ndërtesat</w:t>
            </w:r>
            <w:proofErr w:type="spellEnd"/>
            <w:r w:rsidRPr="00497B72">
              <w:rPr>
                <w:b/>
                <w:i/>
              </w:rPr>
              <w:t xml:space="preserve">, </w:t>
            </w:r>
            <w:proofErr w:type="spellStart"/>
            <w:r w:rsidRPr="00497B72">
              <w:rPr>
                <w:b/>
                <w:i/>
              </w:rPr>
              <w:t>për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rrjedhojë</w:t>
            </w:r>
            <w:proofErr w:type="spellEnd"/>
            <w:r w:rsidRPr="00497B72">
              <w:rPr>
                <w:b/>
                <w:i/>
                <w:spacing w:val="-6"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edhe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të</w:t>
            </w:r>
            <w:proofErr w:type="spellEnd"/>
            <w:r w:rsidRPr="00497B72">
              <w:rPr>
                <w:b/>
                <w:i/>
                <w:spacing w:val="-10"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taksës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vendore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të</w:t>
            </w:r>
            <w:proofErr w:type="spellEnd"/>
            <w:r w:rsidRPr="00497B72">
              <w:rPr>
                <w:b/>
                <w:i/>
                <w:spacing w:val="-9"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ndërtesës</w:t>
            </w:r>
            <w:proofErr w:type="spellEnd"/>
            <w:r w:rsidRPr="00497B72">
              <w:rPr>
                <w:b/>
                <w:i/>
              </w:rPr>
              <w:t xml:space="preserve">, </w:t>
            </w:r>
            <w:proofErr w:type="spellStart"/>
            <w:r w:rsidRPr="00497B72">
              <w:rPr>
                <w:b/>
                <w:i/>
              </w:rPr>
              <w:t>bëhet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nga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njësitë</w:t>
            </w:r>
            <w:proofErr w:type="spellEnd"/>
            <w:r w:rsidRPr="00497B72">
              <w:rPr>
                <w:b/>
                <w:i/>
                <w:spacing w:val="-4"/>
              </w:rPr>
              <w:t xml:space="preserve"> </w:t>
            </w:r>
            <w:r w:rsidRPr="00497B72">
              <w:rPr>
                <w:b/>
                <w:i/>
              </w:rPr>
              <w:t xml:space="preserve">e </w:t>
            </w:r>
            <w:proofErr w:type="spellStart"/>
            <w:r w:rsidRPr="00497B72">
              <w:rPr>
                <w:b/>
                <w:i/>
              </w:rPr>
              <w:t>vetëqeverisjes</w:t>
            </w:r>
            <w:proofErr w:type="spellEnd"/>
            <w:r w:rsidRPr="00497B72">
              <w:rPr>
                <w:b/>
                <w:i/>
                <w:spacing w:val="-3"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vendore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nën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monitorimin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dhe</w:t>
            </w:r>
            <w:proofErr w:type="spellEnd"/>
            <w:r w:rsidRPr="00497B72">
              <w:rPr>
                <w:b/>
                <w:i/>
              </w:rPr>
              <w:t xml:space="preserve"> </w:t>
            </w:r>
            <w:proofErr w:type="spellStart"/>
            <w:r w:rsidRPr="00497B72">
              <w:rPr>
                <w:b/>
                <w:i/>
              </w:rPr>
              <w:t>asistencen</w:t>
            </w:r>
            <w:proofErr w:type="spellEnd"/>
            <w:r w:rsidRPr="00497B72">
              <w:rPr>
                <w:b/>
                <w:i/>
              </w:rPr>
              <w:t xml:space="preserve"> e DPTP­ </w:t>
            </w:r>
            <w:proofErr w:type="spellStart"/>
            <w:r w:rsidRPr="00497B72">
              <w:rPr>
                <w:b/>
                <w:i/>
                <w:w w:val="105"/>
              </w:rPr>
              <w:t>së</w:t>
            </w:r>
            <w:proofErr w:type="spellEnd"/>
            <w:r w:rsidRPr="00497B72">
              <w:rPr>
                <w:b/>
                <w:i/>
                <w:w w:val="105"/>
              </w:rPr>
              <w:t xml:space="preserve">, </w:t>
            </w:r>
            <w:proofErr w:type="spellStart"/>
            <w:r w:rsidRPr="00497B72">
              <w:rPr>
                <w:b/>
                <w:i/>
                <w:w w:val="105"/>
              </w:rPr>
              <w:t>në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bazë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të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aksesit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lastRenderedPageBreak/>
              <w:t>për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territorin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në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juridiksionin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administrativ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përkatës</w:t>
            </w:r>
            <w:proofErr w:type="spellEnd"/>
            <w:r w:rsidRPr="00497B72">
              <w:rPr>
                <w:b/>
                <w:i/>
                <w:w w:val="105"/>
              </w:rPr>
              <w:t xml:space="preserve">, </w:t>
            </w:r>
            <w:proofErr w:type="spellStart"/>
            <w:r w:rsidRPr="00497B72">
              <w:rPr>
                <w:b/>
                <w:i/>
                <w:w w:val="105"/>
              </w:rPr>
              <w:t>si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dhe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njësitë</w:t>
            </w:r>
            <w:proofErr w:type="spellEnd"/>
            <w:r w:rsidRPr="00497B72">
              <w:rPr>
                <w:b/>
                <w:i/>
                <w:w w:val="105"/>
              </w:rPr>
              <w:t xml:space="preserve"> e </w:t>
            </w:r>
            <w:proofErr w:type="spellStart"/>
            <w:r w:rsidRPr="00497B72">
              <w:rPr>
                <w:b/>
                <w:i/>
                <w:w w:val="105"/>
              </w:rPr>
              <w:t>vetëqeverisjes</w:t>
            </w:r>
            <w:proofErr w:type="spellEnd"/>
            <w:r w:rsidRPr="00497B72">
              <w:rPr>
                <w:b/>
                <w:i/>
                <w:spacing w:val="-10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vendore</w:t>
            </w:r>
            <w:proofErr w:type="spellEnd"/>
            <w:r w:rsidRPr="00497B72">
              <w:rPr>
                <w:b/>
                <w:i/>
                <w:spacing w:val="-5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aksesojnë</w:t>
            </w:r>
            <w:proofErr w:type="spellEnd"/>
            <w:r w:rsidRPr="00497B72">
              <w:rPr>
                <w:b/>
                <w:i/>
                <w:spacing w:val="-4"/>
                <w:w w:val="105"/>
              </w:rPr>
              <w:t xml:space="preserve"> </w:t>
            </w:r>
            <w:r w:rsidRPr="00497B72">
              <w:rPr>
                <w:b/>
                <w:i/>
                <w:w w:val="105"/>
              </w:rPr>
              <w:t>RQTVPP</w:t>
            </w:r>
            <w:r w:rsidRPr="00497B72">
              <w:rPr>
                <w:b/>
                <w:i/>
                <w:spacing w:val="-6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për</w:t>
            </w:r>
            <w:proofErr w:type="spellEnd"/>
            <w:r w:rsidRPr="00497B72">
              <w:rPr>
                <w:b/>
                <w:i/>
                <w:spacing w:val="-4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hedhjen</w:t>
            </w:r>
            <w:proofErr w:type="spellEnd"/>
            <w:r w:rsidRPr="00497B72">
              <w:rPr>
                <w:b/>
                <w:i/>
                <w:w w:val="105"/>
              </w:rPr>
              <w:t>,</w:t>
            </w:r>
            <w:r w:rsidRPr="00497B72">
              <w:rPr>
                <w:b/>
                <w:i/>
                <w:spacing w:val="-5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përpunimin</w:t>
            </w:r>
            <w:proofErr w:type="spellEnd"/>
            <w:r w:rsidRPr="00497B72">
              <w:rPr>
                <w:b/>
                <w:i/>
                <w:w w:val="105"/>
              </w:rPr>
              <w:t>,</w:t>
            </w:r>
            <w:r w:rsidRPr="00497B72">
              <w:rPr>
                <w:b/>
                <w:i/>
                <w:spacing w:val="-9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korrektimin</w:t>
            </w:r>
            <w:proofErr w:type="spellEnd"/>
            <w:r w:rsidRPr="00497B72">
              <w:rPr>
                <w:b/>
                <w:i/>
                <w:w w:val="105"/>
              </w:rPr>
              <w:t xml:space="preserve"> e</w:t>
            </w:r>
            <w:r w:rsidRPr="00497B72">
              <w:rPr>
                <w:b/>
                <w:i/>
                <w:spacing w:val="-8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të</w:t>
            </w:r>
            <w:proofErr w:type="spellEnd"/>
            <w:r w:rsidRPr="00497B72">
              <w:rPr>
                <w:b/>
                <w:i/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dhënave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mbi</w:t>
            </w:r>
            <w:proofErr w:type="spellEnd"/>
            <w:r w:rsidRPr="00497B72">
              <w:rPr>
                <w:b/>
                <w:i/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të</w:t>
            </w:r>
            <w:proofErr w:type="spellEnd"/>
            <w:r w:rsidRPr="00497B72">
              <w:rPr>
                <w:b/>
                <w:i/>
                <w:spacing w:val="-14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cilat</w:t>
            </w:r>
            <w:proofErr w:type="spellEnd"/>
            <w:r w:rsidRPr="00497B72">
              <w:rPr>
                <w:b/>
                <w:i/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bazohet</w:t>
            </w:r>
            <w:proofErr w:type="spellEnd"/>
            <w:r w:rsidRPr="00497B72">
              <w:rPr>
                <w:b/>
                <w:i/>
                <w:spacing w:val="-14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llogaritja</w:t>
            </w:r>
            <w:proofErr w:type="spellEnd"/>
            <w:r w:rsidRPr="00497B72">
              <w:rPr>
                <w:b/>
                <w:i/>
                <w:spacing w:val="-10"/>
                <w:w w:val="105"/>
              </w:rPr>
              <w:t xml:space="preserve"> </w:t>
            </w:r>
            <w:r w:rsidRPr="00497B72">
              <w:rPr>
                <w:b/>
                <w:i/>
                <w:w w:val="105"/>
              </w:rPr>
              <w:t>e</w:t>
            </w:r>
            <w:r w:rsidRPr="00497B72">
              <w:rPr>
                <w:b/>
                <w:i/>
                <w:spacing w:val="-7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bazës</w:t>
            </w:r>
            <w:proofErr w:type="spellEnd"/>
            <w:r w:rsidRPr="00497B72">
              <w:rPr>
                <w:b/>
                <w:i/>
                <w:spacing w:val="-13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së</w:t>
            </w:r>
            <w:proofErr w:type="spellEnd"/>
            <w:r w:rsidRPr="00497B72">
              <w:rPr>
                <w:b/>
                <w:i/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taksës</w:t>
            </w:r>
            <w:proofErr w:type="spellEnd"/>
            <w:r w:rsidRPr="00497B72">
              <w:rPr>
                <w:b/>
                <w:i/>
                <w:spacing w:val="-3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vendore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të</w:t>
            </w:r>
            <w:proofErr w:type="spellEnd"/>
            <w:r w:rsidRPr="00497B72">
              <w:rPr>
                <w:b/>
                <w:i/>
                <w:spacing w:val="-15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ndërtesës</w:t>
            </w:r>
            <w:proofErr w:type="spellEnd"/>
            <w:r w:rsidRPr="00497B72">
              <w:rPr>
                <w:b/>
                <w:i/>
                <w:spacing w:val="-3"/>
                <w:w w:val="105"/>
              </w:rPr>
              <w:t xml:space="preserve"> </w:t>
            </w:r>
            <w:r w:rsidRPr="00497B72">
              <w:rPr>
                <w:b/>
                <w:i/>
                <w:w w:val="105"/>
              </w:rPr>
              <w:t>(</w:t>
            </w:r>
            <w:proofErr w:type="spellStart"/>
            <w:r w:rsidRPr="00497B72">
              <w:rPr>
                <w:b/>
                <w:i/>
                <w:w w:val="105"/>
              </w:rPr>
              <w:t>vlera</w:t>
            </w:r>
            <w:proofErr w:type="spellEnd"/>
            <w:r w:rsidRPr="00497B72">
              <w:rPr>
                <w:b/>
                <w:i/>
                <w:spacing w:val="-13"/>
                <w:w w:val="105"/>
              </w:rPr>
              <w:t xml:space="preserve"> </w:t>
            </w:r>
            <w:r w:rsidRPr="00497B72">
              <w:rPr>
                <w:b/>
                <w:i/>
                <w:w w:val="105"/>
              </w:rPr>
              <w:t>e</w:t>
            </w:r>
            <w:r w:rsidRPr="00497B72">
              <w:rPr>
                <w:b/>
                <w:i/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taksueshme</w:t>
            </w:r>
            <w:proofErr w:type="spellEnd"/>
            <w:r w:rsidRPr="00497B72">
              <w:rPr>
                <w:b/>
                <w:i/>
                <w:w w:val="105"/>
              </w:rPr>
              <w:t>),</w:t>
            </w:r>
            <w:r w:rsidRPr="00497B72">
              <w:rPr>
                <w:b/>
                <w:i/>
                <w:spacing w:val="-4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si</w:t>
            </w:r>
            <w:proofErr w:type="spellEnd"/>
            <w:r w:rsidRPr="00497B72">
              <w:rPr>
                <w:b/>
                <w:i/>
                <w:spacing w:val="-8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dhe</w:t>
            </w:r>
            <w:proofErr w:type="spellEnd"/>
            <w:r w:rsidRPr="00497B72">
              <w:rPr>
                <w:b/>
                <w:i/>
                <w:w w:val="105"/>
              </w:rPr>
              <w:t xml:space="preserve"> e</w:t>
            </w:r>
            <w:r w:rsidRPr="00497B72">
              <w:rPr>
                <w:b/>
                <w:i/>
                <w:spacing w:val="-16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shumës</w:t>
            </w:r>
            <w:proofErr w:type="spellEnd"/>
            <w:r w:rsidRPr="00497B72">
              <w:rPr>
                <w:b/>
                <w:i/>
                <w:spacing w:val="-7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së</w:t>
            </w:r>
            <w:proofErr w:type="spellEnd"/>
            <w:r w:rsidRPr="00497B72">
              <w:rPr>
                <w:b/>
                <w:i/>
                <w:spacing w:val="-17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taksës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për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t'u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paguar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nga</w:t>
            </w:r>
            <w:proofErr w:type="spellEnd"/>
            <w:r w:rsidRPr="00497B72">
              <w:rPr>
                <w:b/>
                <w:i/>
                <w:spacing w:val="-3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çdo</w:t>
            </w:r>
            <w:proofErr w:type="spellEnd"/>
            <w:r w:rsidRPr="00497B72">
              <w:rPr>
                <w:b/>
                <w:i/>
                <w:spacing w:val="-7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taksapagues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për</w:t>
            </w:r>
            <w:proofErr w:type="spellEnd"/>
            <w:r w:rsidRPr="00497B72">
              <w:rPr>
                <w:b/>
                <w:i/>
                <w:spacing w:val="-4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territorin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administrativ</w:t>
            </w:r>
            <w:proofErr w:type="spellEnd"/>
            <w:r w:rsidRPr="00497B72">
              <w:rPr>
                <w:b/>
                <w:i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që</w:t>
            </w:r>
            <w:proofErr w:type="spellEnd"/>
            <w:r w:rsidRPr="00497B72">
              <w:rPr>
                <w:b/>
                <w:i/>
                <w:spacing w:val="-4"/>
                <w:w w:val="105"/>
              </w:rPr>
              <w:t xml:space="preserve"> </w:t>
            </w:r>
            <w:proofErr w:type="spellStart"/>
            <w:r w:rsidRPr="00497B72">
              <w:rPr>
                <w:b/>
                <w:i/>
                <w:w w:val="105"/>
              </w:rPr>
              <w:t>mbulon</w:t>
            </w:r>
            <w:proofErr w:type="spellEnd"/>
            <w:r w:rsidRPr="00497B72">
              <w:rPr>
                <w:b/>
                <w:i/>
                <w:w w:val="105"/>
              </w:rPr>
              <w:t>.</w:t>
            </w:r>
          </w:p>
          <w:p w14:paraId="0C11BDD5" w14:textId="77777777" w:rsidR="00BC7A56" w:rsidRPr="00497B72" w:rsidRDefault="00BC7A56" w:rsidP="00497B72">
            <w:pPr>
              <w:pStyle w:val="BodyText"/>
              <w:spacing w:before="33"/>
              <w:jc w:val="both"/>
              <w:rPr>
                <w:b/>
                <w:i/>
                <w:sz w:val="24"/>
                <w:szCs w:val="22"/>
              </w:rPr>
            </w:pPr>
          </w:p>
          <w:p w14:paraId="1FAC4948" w14:textId="77777777" w:rsidR="00BC7A56" w:rsidRPr="00497B72" w:rsidRDefault="00BC7A56" w:rsidP="00497B72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07"/>
                <w:tab w:val="left" w:pos="509"/>
              </w:tabs>
              <w:autoSpaceDE w:val="0"/>
              <w:autoSpaceDN w:val="0"/>
              <w:spacing w:after="0" w:line="280" w:lineRule="auto"/>
              <w:ind w:left="509" w:right="689" w:hanging="353"/>
              <w:contextualSpacing w:val="0"/>
              <w:jc w:val="both"/>
              <w:rPr>
                <w:szCs w:val="22"/>
              </w:rPr>
            </w:pPr>
            <w:proofErr w:type="spellStart"/>
            <w:r w:rsidRPr="00497B72">
              <w:rPr>
                <w:szCs w:val="22"/>
              </w:rPr>
              <w:t>Përsa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i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përket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çështjes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ngritur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shkresën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tuaj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lidhur</w:t>
            </w:r>
            <w:proofErr w:type="spellEnd"/>
            <w:r w:rsidRPr="00497B72">
              <w:rPr>
                <w:szCs w:val="22"/>
              </w:rPr>
              <w:t xml:space="preserve"> me </w:t>
            </w:r>
            <w:proofErr w:type="spellStart"/>
            <w:r w:rsidRPr="00497B72">
              <w:rPr>
                <w:szCs w:val="22"/>
              </w:rPr>
              <w:t>momentin</w:t>
            </w:r>
            <w:proofErr w:type="spellEnd"/>
            <w:r w:rsidRPr="00497B72">
              <w:rPr>
                <w:szCs w:val="22"/>
              </w:rPr>
              <w:t xml:space="preserve"> se </w:t>
            </w:r>
            <w:proofErr w:type="spellStart"/>
            <w:r w:rsidRPr="00497B72">
              <w:rPr>
                <w:szCs w:val="22"/>
              </w:rPr>
              <w:t>nga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i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cili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vit</w:t>
            </w:r>
            <w:proofErr w:type="spellEnd"/>
            <w:r w:rsidRPr="00497B72">
              <w:rPr>
                <w:szCs w:val="22"/>
              </w:rPr>
              <w:t xml:space="preserve"> do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fillojë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ngarkesa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fiskale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për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pasuritë</w:t>
            </w:r>
            <w:proofErr w:type="spellEnd"/>
            <w:r w:rsidRPr="00497B72">
              <w:rPr>
                <w:szCs w:val="22"/>
              </w:rPr>
              <w:t xml:space="preserve"> e </w:t>
            </w:r>
            <w:proofErr w:type="spellStart"/>
            <w:r w:rsidRPr="00497B72">
              <w:rPr>
                <w:szCs w:val="22"/>
              </w:rPr>
              <w:t>paluajtshme</w:t>
            </w:r>
            <w:proofErr w:type="spellEnd"/>
            <w:r w:rsidRPr="00497B72">
              <w:rPr>
                <w:szCs w:val="22"/>
              </w:rPr>
              <w:t xml:space="preserve"> e </w:t>
            </w:r>
            <w:proofErr w:type="spellStart"/>
            <w:r w:rsidRPr="00497B72">
              <w:rPr>
                <w:szCs w:val="22"/>
              </w:rPr>
              <w:t>paregjistruara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sistem</w:t>
            </w:r>
            <w:proofErr w:type="spellEnd"/>
            <w:r w:rsidRPr="00497B72">
              <w:rPr>
                <w:szCs w:val="22"/>
              </w:rPr>
              <w:t xml:space="preserve">: </w:t>
            </w:r>
            <w:proofErr w:type="spellStart"/>
            <w:r w:rsidRPr="00497B72">
              <w:rPr>
                <w:szCs w:val="22"/>
              </w:rPr>
              <w:t>në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momentin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që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është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fituar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pronësia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sipas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dokumentacionit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paraqitur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në</w:t>
            </w:r>
            <w:proofErr w:type="spellEnd"/>
            <w:r w:rsidRPr="00497B72">
              <w:rPr>
                <w:szCs w:val="22"/>
              </w:rPr>
              <w:t xml:space="preserve"> DTTV, </w:t>
            </w:r>
            <w:proofErr w:type="spellStart"/>
            <w:r w:rsidRPr="00497B72">
              <w:rPr>
                <w:szCs w:val="22"/>
              </w:rPr>
              <w:t>apo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sipas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parashkrimit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drejtës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administratës</w:t>
            </w:r>
            <w:proofErr w:type="spellEnd"/>
            <w:r w:rsidRPr="00497B72">
              <w:rPr>
                <w:spacing w:val="33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tatimore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për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përcaktimin</w:t>
            </w:r>
            <w:proofErr w:type="spellEnd"/>
            <w:r w:rsidRPr="00497B72">
              <w:rPr>
                <w:szCs w:val="22"/>
              </w:rPr>
              <w:t xml:space="preserve"> e </w:t>
            </w:r>
            <w:proofErr w:type="spellStart"/>
            <w:r w:rsidRPr="00497B72">
              <w:rPr>
                <w:szCs w:val="22"/>
              </w:rPr>
              <w:t>detyrimit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tatimor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për</w:t>
            </w:r>
            <w:proofErr w:type="spellEnd"/>
            <w:r w:rsidRPr="00497B72">
              <w:rPr>
                <w:szCs w:val="22"/>
              </w:rPr>
              <w:t xml:space="preserve"> 5 </w:t>
            </w:r>
            <w:proofErr w:type="spellStart"/>
            <w:r w:rsidRPr="00497B72">
              <w:rPr>
                <w:szCs w:val="22"/>
              </w:rPr>
              <w:t>vitet</w:t>
            </w:r>
            <w:proofErr w:type="spellEnd"/>
            <w:r w:rsidRPr="00497B72">
              <w:rPr>
                <w:szCs w:val="22"/>
              </w:rPr>
              <w:t xml:space="preserve"> e </w:t>
            </w:r>
            <w:proofErr w:type="spellStart"/>
            <w:r w:rsidRPr="00497B72">
              <w:rPr>
                <w:szCs w:val="22"/>
              </w:rPr>
              <w:t>fundit</w:t>
            </w:r>
            <w:proofErr w:type="spellEnd"/>
            <w:r w:rsidRPr="00497B72">
              <w:rPr>
                <w:szCs w:val="22"/>
              </w:rPr>
              <w:t xml:space="preserve">, </w:t>
            </w:r>
            <w:proofErr w:type="spellStart"/>
            <w:r w:rsidRPr="00497B72">
              <w:rPr>
                <w:szCs w:val="22"/>
              </w:rPr>
              <w:t>sqarojmë</w:t>
            </w:r>
            <w:proofErr w:type="spellEnd"/>
            <w:r w:rsidRPr="00497B72">
              <w:rPr>
                <w:szCs w:val="22"/>
              </w:rPr>
              <w:t xml:space="preserve"> se:</w:t>
            </w:r>
          </w:p>
          <w:p w14:paraId="1F46E28D" w14:textId="24F61EE3" w:rsidR="00BC7A56" w:rsidRPr="00497B72" w:rsidRDefault="00BC7A56" w:rsidP="00497B72">
            <w:pPr>
              <w:spacing w:before="73" w:line="278" w:lineRule="auto"/>
              <w:ind w:right="751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piken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1,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nenit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20,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Ligjit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Nr. 9632/2006,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përcaktohen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llojet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e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taksapaguesve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që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i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nënshtrohen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taksës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mbi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pasurinë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e</w:t>
            </w:r>
            <w:r w:rsidRPr="00497B72">
              <w:rPr>
                <w:rFonts w:ascii="Times New Roman" w:hAnsi="Times New Roman" w:cs="Times New Roman"/>
                <w:spacing w:val="-8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paluajtshme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.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Ndërkohë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,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spacing w:val="-3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pikat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1,</w:t>
            </w:r>
            <w:r w:rsidRPr="00497B72">
              <w:rPr>
                <w:rFonts w:ascii="Times New Roman" w:hAnsi="Times New Roman" w:cs="Times New Roman"/>
                <w:spacing w:val="-7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w w:val="105"/>
                <w:sz w:val="24"/>
              </w:rPr>
              <w:t>2,</w:t>
            </w:r>
            <w:r w:rsidRPr="00497B72">
              <w:rPr>
                <w:rFonts w:ascii="Times New Roman" w:hAnsi="Times New Roman" w:cs="Times New Roman"/>
                <w:spacing w:val="-14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spacing w:val="-4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w w:val="105"/>
                <w:sz w:val="24"/>
              </w:rPr>
              <w:t>3,</w:t>
            </w:r>
            <w:r w:rsidRPr="00497B72">
              <w:rPr>
                <w:rFonts w:ascii="Times New Roman" w:hAnsi="Times New Roman" w:cs="Times New Roman"/>
                <w:spacing w:val="-7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spacing w:val="-4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nenit</w:t>
            </w:r>
            <w:proofErr w:type="spellEnd"/>
            <w:r w:rsidRPr="00497B72">
              <w:rPr>
                <w:rFonts w:ascii="Times New Roman" w:hAnsi="Times New Roman" w:cs="Times New Roman"/>
                <w:spacing w:val="-2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w w:val="105"/>
                <w:sz w:val="24"/>
              </w:rPr>
              <w:t>22,</w:t>
            </w:r>
            <w:r w:rsidRPr="00497B72">
              <w:rPr>
                <w:rFonts w:ascii="Times New Roman" w:hAnsi="Times New Roman" w:cs="Times New Roman"/>
                <w:spacing w:val="-7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Ligjit</w:t>
            </w:r>
            <w:proofErr w:type="spellEnd"/>
            <w:r w:rsidRPr="00497B72">
              <w:rPr>
                <w:rFonts w:ascii="Times New Roman" w:hAnsi="Times New Roman" w:cs="Times New Roman"/>
                <w:spacing w:val="-16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Nr</w:t>
            </w:r>
            <w:proofErr w:type="spellEnd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.</w:t>
            </w:r>
            <w:r w:rsidRPr="00497B72">
              <w:rPr>
                <w:rFonts w:ascii="Times New Roman" w:hAnsi="Times New Roman" w:cs="Times New Roman"/>
                <w:spacing w:val="-15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w w:val="105"/>
                <w:sz w:val="24"/>
              </w:rPr>
              <w:t>9632/2006,</w:t>
            </w:r>
            <w:r w:rsidRPr="00497B72">
              <w:rPr>
                <w:rFonts w:ascii="Times New Roman" w:hAnsi="Times New Roman" w:cs="Times New Roman"/>
                <w:spacing w:val="-15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si</w:t>
            </w:r>
            <w:proofErr w:type="spellEnd"/>
            <w:r w:rsidRPr="00497B72">
              <w:rPr>
                <w:rFonts w:ascii="Times New Roman" w:hAnsi="Times New Roman" w:cs="Times New Roman"/>
                <w:spacing w:val="23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spacing w:val="-15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spacing w:val="-15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pikën</w:t>
            </w:r>
            <w:proofErr w:type="spellEnd"/>
            <w:r w:rsidRPr="00497B72">
              <w:rPr>
                <w:rFonts w:ascii="Times New Roman" w:hAnsi="Times New Roman" w:cs="Times New Roman"/>
                <w:spacing w:val="-8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w w:val="105"/>
                <w:sz w:val="24"/>
              </w:rPr>
              <w:t>10,</w:t>
            </w:r>
            <w:r w:rsidRPr="00497B72">
              <w:rPr>
                <w:rFonts w:ascii="Times New Roman" w:hAnsi="Times New Roman" w:cs="Times New Roman"/>
                <w:spacing w:val="-16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spacing w:val="-10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nenit</w:t>
            </w:r>
            <w:proofErr w:type="spellEnd"/>
            <w:r w:rsidRPr="00497B72">
              <w:rPr>
                <w:rFonts w:ascii="Times New Roman" w:hAnsi="Times New Roman" w:cs="Times New Roman"/>
                <w:spacing w:val="-11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w w:val="105"/>
                <w:sz w:val="24"/>
              </w:rPr>
              <w:t>1</w:t>
            </w:r>
            <w:r w:rsidRPr="00497B72">
              <w:rPr>
                <w:rFonts w:ascii="Times New Roman" w:hAnsi="Times New Roman" w:cs="Times New Roman"/>
                <w:spacing w:val="-16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w w:val="105"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spacing w:val="-15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w w:val="105"/>
                <w:sz w:val="24"/>
              </w:rPr>
              <w:t>VKM</w:t>
            </w:r>
            <w:r w:rsidRPr="00497B72">
              <w:rPr>
                <w:rFonts w:ascii="Times New Roman" w:hAnsi="Times New Roman" w:cs="Times New Roman"/>
                <w:spacing w:val="-12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w w:val="105"/>
                <w:sz w:val="24"/>
              </w:rPr>
              <w:t>Nr.</w:t>
            </w:r>
            <w:r w:rsidRPr="00497B72">
              <w:rPr>
                <w:rFonts w:ascii="Times New Roman" w:hAnsi="Times New Roman" w:cs="Times New Roman"/>
                <w:spacing w:val="-4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i/>
                <w:w w:val="105"/>
                <w:sz w:val="24"/>
              </w:rPr>
              <w:t>132/2018,</w:t>
            </w:r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përcaktohen</w:t>
            </w:r>
            <w:r w:rsidRPr="00497B72">
              <w:rPr>
                <w:rFonts w:ascii="Times New Roman" w:hAnsi="Times New Roman" w:cs="Times New Roman"/>
                <w:b/>
                <w:i/>
                <w:spacing w:val="-16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llojet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13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 xml:space="preserve">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taksapaguesve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që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1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nënshtrohen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taksës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mbi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ndërtesat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Pr="00497B72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Gjithashtu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pikën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8,</w:t>
            </w:r>
            <w:r w:rsidRPr="00497B7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nenit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1,</w:t>
            </w:r>
            <w:r w:rsidRPr="00497B72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sz w:val="24"/>
              </w:rPr>
              <w:t xml:space="preserve">VKM </w:t>
            </w:r>
            <w:r w:rsidRPr="00497B72">
              <w:rPr>
                <w:rFonts w:ascii="Times New Roman" w:hAnsi="Times New Roman" w:cs="Times New Roman"/>
                <w:w w:val="105"/>
                <w:sz w:val="24"/>
              </w:rPr>
              <w:t>Nr.</w:t>
            </w:r>
            <w:r w:rsidRPr="00497B72">
              <w:rPr>
                <w:rFonts w:ascii="Times New Roman" w:hAnsi="Times New Roman" w:cs="Times New Roman"/>
                <w:spacing w:val="64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w w:val="105"/>
                <w:sz w:val="24"/>
              </w:rPr>
              <w:t>132/2018,</w:t>
            </w:r>
            <w:r w:rsidRPr="00497B72">
              <w:rPr>
                <w:rFonts w:ascii="Times New Roman" w:hAnsi="Times New Roman" w:cs="Times New Roman"/>
                <w:spacing w:val="77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përcaktohet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71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përkufizimi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61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40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termit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40"/>
                <w:w w:val="105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"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përdorues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"</w:t>
            </w:r>
            <w:r w:rsidRPr="00497B72">
              <w:rPr>
                <w:rFonts w:ascii="Times New Roman" w:hAnsi="Times New Roman" w:cs="Times New Roman"/>
                <w:b/>
                <w:i/>
                <w:spacing w:val="80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40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qëllim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60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lastRenderedPageBreak/>
              <w:t>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40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zbatimit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67"/>
                <w:w w:val="10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metodologjisë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përcaktimin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bazës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së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taksueshme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pasurisë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së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paluajtshme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"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ndërtesë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",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parashikuar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këtë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VKM.</w:t>
            </w:r>
          </w:p>
          <w:p w14:paraId="7D6DFFEE" w14:textId="77777777" w:rsidR="00BC7A56" w:rsidRPr="00497B72" w:rsidRDefault="00BC7A56" w:rsidP="00497B72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799"/>
                <w:tab w:val="left" w:pos="803"/>
              </w:tabs>
              <w:autoSpaceDE w:val="0"/>
              <w:autoSpaceDN w:val="0"/>
              <w:spacing w:before="2" w:after="0" w:line="280" w:lineRule="auto"/>
              <w:ind w:left="799" w:right="752" w:hanging="247"/>
              <w:contextualSpacing w:val="0"/>
              <w:jc w:val="both"/>
              <w:rPr>
                <w:szCs w:val="22"/>
              </w:rPr>
            </w:pPr>
            <w:r w:rsidRPr="00497B72">
              <w:rPr>
                <w:szCs w:val="22"/>
              </w:rPr>
              <w:tab/>
            </w:r>
            <w:proofErr w:type="spellStart"/>
            <w:r w:rsidRPr="00497B72">
              <w:rPr>
                <w:szCs w:val="22"/>
              </w:rPr>
              <w:t>Ndërkohë</w:t>
            </w:r>
            <w:proofErr w:type="spellEnd"/>
            <w:r w:rsidRPr="00497B72">
              <w:rPr>
                <w:szCs w:val="22"/>
              </w:rPr>
              <w:t xml:space="preserve">, </w:t>
            </w:r>
            <w:proofErr w:type="spellStart"/>
            <w:r w:rsidRPr="00497B72">
              <w:rPr>
                <w:szCs w:val="22"/>
              </w:rPr>
              <w:t>në</w:t>
            </w:r>
            <w:proofErr w:type="spellEnd"/>
            <w:r w:rsidRPr="00497B72">
              <w:rPr>
                <w:spacing w:val="-3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piken</w:t>
            </w:r>
            <w:proofErr w:type="spellEnd"/>
            <w:r w:rsidRPr="00497B72">
              <w:rPr>
                <w:szCs w:val="22"/>
              </w:rPr>
              <w:t xml:space="preserve"> 1,</w:t>
            </w:r>
            <w:r w:rsidRPr="00497B72">
              <w:rPr>
                <w:spacing w:val="-7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pacing w:val="-2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nenit</w:t>
            </w:r>
            <w:proofErr w:type="spellEnd"/>
            <w:r w:rsidRPr="00497B72">
              <w:rPr>
                <w:szCs w:val="22"/>
              </w:rPr>
              <w:t xml:space="preserve"> 21,</w:t>
            </w:r>
            <w:r w:rsidRPr="00497B72">
              <w:rPr>
                <w:spacing w:val="-4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Ligjit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Nr</w:t>
            </w:r>
            <w:proofErr w:type="spellEnd"/>
            <w:r w:rsidRPr="00497B72">
              <w:rPr>
                <w:szCs w:val="22"/>
              </w:rPr>
              <w:t xml:space="preserve">. 9632/2009 </w:t>
            </w:r>
            <w:proofErr w:type="spellStart"/>
            <w:r w:rsidRPr="00497B72">
              <w:rPr>
                <w:szCs w:val="22"/>
              </w:rPr>
              <w:t>përcaktohet</w:t>
            </w:r>
            <w:proofErr w:type="spellEnd"/>
            <w:r w:rsidRPr="00497B72">
              <w:rPr>
                <w:szCs w:val="22"/>
              </w:rPr>
              <w:t xml:space="preserve"> se </w:t>
            </w:r>
            <w:r w:rsidRPr="00497B72">
              <w:rPr>
                <w:b/>
                <w:szCs w:val="22"/>
              </w:rPr>
              <w:t>"</w:t>
            </w:r>
            <w:proofErr w:type="spellStart"/>
            <w:r w:rsidRPr="00497B72">
              <w:rPr>
                <w:b/>
                <w:i/>
                <w:szCs w:val="22"/>
              </w:rPr>
              <w:t>Taksat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llogariten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si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detyrim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vjetor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i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taksapaguesit</w:t>
            </w:r>
            <w:proofErr w:type="spellEnd"/>
            <w:r w:rsidRPr="00497B72">
              <w:rPr>
                <w:b/>
                <w:i/>
                <w:szCs w:val="22"/>
              </w:rPr>
              <w:t xml:space="preserve">. </w:t>
            </w:r>
            <w:proofErr w:type="spellStart"/>
            <w:r w:rsidRPr="00497B72">
              <w:rPr>
                <w:b/>
                <w:i/>
                <w:szCs w:val="22"/>
              </w:rPr>
              <w:t>Nëse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pasuria</w:t>
            </w:r>
            <w:proofErr w:type="spellEnd"/>
            <w:r w:rsidRPr="00497B72">
              <w:rPr>
                <w:b/>
                <w:i/>
                <w:szCs w:val="22"/>
              </w:rPr>
              <w:t xml:space="preserve"> e </w:t>
            </w:r>
            <w:proofErr w:type="spellStart"/>
            <w:r w:rsidRPr="00497B72">
              <w:rPr>
                <w:b/>
                <w:i/>
                <w:szCs w:val="22"/>
              </w:rPr>
              <w:t>taksueshme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krijohet</w:t>
            </w:r>
            <w:proofErr w:type="spellEnd"/>
            <w:r w:rsidRPr="00497B72">
              <w:rPr>
                <w:b/>
                <w:i/>
                <w:szCs w:val="22"/>
              </w:rPr>
              <w:t xml:space="preserve">, </w:t>
            </w:r>
            <w:proofErr w:type="spellStart"/>
            <w:r w:rsidRPr="00497B72">
              <w:rPr>
                <w:b/>
                <w:i/>
                <w:szCs w:val="22"/>
              </w:rPr>
              <w:t>tjetërsohet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ose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zhduket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brënda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kësaj</w:t>
            </w:r>
            <w:proofErr w:type="spellEnd"/>
            <w:r w:rsidRPr="00497B72">
              <w:rPr>
                <w:b/>
                <w:i/>
                <w:spacing w:val="-6"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periudhe</w:t>
            </w:r>
            <w:proofErr w:type="spellEnd"/>
            <w:r w:rsidRPr="00497B72">
              <w:rPr>
                <w:b/>
                <w:i/>
                <w:szCs w:val="22"/>
              </w:rPr>
              <w:t>,</w:t>
            </w:r>
            <w:r w:rsidRPr="00497B72">
              <w:rPr>
                <w:b/>
                <w:i/>
                <w:spacing w:val="-10"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detyrimi</w:t>
            </w:r>
            <w:proofErr w:type="spellEnd"/>
            <w:r w:rsidRPr="00497B72">
              <w:rPr>
                <w:b/>
                <w:i/>
                <w:spacing w:val="-15"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i</w:t>
            </w:r>
            <w:proofErr w:type="spellEnd"/>
            <w:r w:rsidRPr="00497B72">
              <w:rPr>
                <w:b/>
                <w:i/>
                <w:spacing w:val="-9"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taksapaguesit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llogaritet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proporcionalisht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vetëm</w:t>
            </w:r>
            <w:proofErr w:type="spellEnd"/>
            <w:r w:rsidRPr="00497B72">
              <w:rPr>
                <w:b/>
                <w:i/>
                <w:spacing w:val="-1"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për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periudhen</w:t>
            </w:r>
            <w:proofErr w:type="spellEnd"/>
            <w:r w:rsidRPr="00497B72">
              <w:rPr>
                <w:b/>
                <w:i/>
                <w:szCs w:val="22"/>
              </w:rPr>
              <w:t xml:space="preserve"> e </w:t>
            </w:r>
            <w:proofErr w:type="spellStart"/>
            <w:r w:rsidRPr="00497B72">
              <w:rPr>
                <w:b/>
                <w:i/>
                <w:szCs w:val="22"/>
              </w:rPr>
              <w:t>së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drejtës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së</w:t>
            </w:r>
            <w:proofErr w:type="spellEnd"/>
            <w:r w:rsidRPr="00497B72">
              <w:rPr>
                <w:b/>
                <w:i/>
                <w:szCs w:val="22"/>
              </w:rPr>
              <w:t xml:space="preserve"> </w:t>
            </w:r>
            <w:proofErr w:type="spellStart"/>
            <w:r w:rsidRPr="00497B72">
              <w:rPr>
                <w:b/>
                <w:i/>
                <w:szCs w:val="22"/>
              </w:rPr>
              <w:t>pronësisë</w:t>
            </w:r>
            <w:proofErr w:type="spellEnd"/>
            <w:r w:rsidRPr="00497B72">
              <w:rPr>
                <w:b/>
                <w:szCs w:val="22"/>
              </w:rPr>
              <w:t xml:space="preserve">". </w:t>
            </w:r>
            <w:proofErr w:type="spellStart"/>
            <w:r w:rsidRPr="00497B72">
              <w:rPr>
                <w:szCs w:val="22"/>
              </w:rPr>
              <w:t>Gjithashtu</w:t>
            </w:r>
            <w:proofErr w:type="spellEnd"/>
            <w:r w:rsidRPr="00497B72">
              <w:rPr>
                <w:szCs w:val="22"/>
              </w:rPr>
              <w:t xml:space="preserve">, </w:t>
            </w:r>
            <w:proofErr w:type="spellStart"/>
            <w:r w:rsidRPr="00497B72">
              <w:rPr>
                <w:szCs w:val="22"/>
              </w:rPr>
              <w:t>në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pikat</w:t>
            </w:r>
            <w:proofErr w:type="spellEnd"/>
            <w:r w:rsidRPr="00497B72">
              <w:rPr>
                <w:szCs w:val="22"/>
              </w:rPr>
              <w:t xml:space="preserve"> 10 </w:t>
            </w:r>
            <w:proofErr w:type="spellStart"/>
            <w:r w:rsidRPr="00497B72">
              <w:rPr>
                <w:szCs w:val="22"/>
              </w:rPr>
              <w:t>dhe</w:t>
            </w:r>
            <w:proofErr w:type="spellEnd"/>
            <w:r w:rsidRPr="00497B72">
              <w:rPr>
                <w:szCs w:val="22"/>
              </w:rPr>
              <w:t xml:space="preserve"> 12,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nenit</w:t>
            </w:r>
            <w:proofErr w:type="spellEnd"/>
            <w:r w:rsidRPr="00497B72">
              <w:rPr>
                <w:szCs w:val="22"/>
              </w:rPr>
              <w:t xml:space="preserve"> 2,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zCs w:val="22"/>
              </w:rPr>
              <w:t xml:space="preserve"> VKM </w:t>
            </w:r>
            <w:proofErr w:type="spellStart"/>
            <w:r w:rsidRPr="00497B72">
              <w:rPr>
                <w:szCs w:val="22"/>
              </w:rPr>
              <w:t>Nr</w:t>
            </w:r>
            <w:proofErr w:type="spellEnd"/>
            <w:r w:rsidRPr="00497B72">
              <w:rPr>
                <w:szCs w:val="22"/>
              </w:rPr>
              <w:t xml:space="preserve">. 132/2018 </w:t>
            </w:r>
            <w:proofErr w:type="spellStart"/>
            <w:r w:rsidRPr="00497B72">
              <w:rPr>
                <w:szCs w:val="22"/>
              </w:rPr>
              <w:t>parashikohen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respektivisht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përcaktime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nënligjore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lidhur</w:t>
            </w:r>
            <w:proofErr w:type="spellEnd"/>
            <w:r w:rsidRPr="00497B72">
              <w:rPr>
                <w:szCs w:val="22"/>
              </w:rPr>
              <w:t xml:space="preserve"> me </w:t>
            </w:r>
            <w:proofErr w:type="spellStart"/>
            <w:r w:rsidRPr="00497B72">
              <w:rPr>
                <w:szCs w:val="22"/>
              </w:rPr>
              <w:t>lindjen</w:t>
            </w:r>
            <w:proofErr w:type="spellEnd"/>
            <w:r w:rsidRPr="00497B72">
              <w:rPr>
                <w:szCs w:val="22"/>
              </w:rPr>
              <w:t xml:space="preserve"> e </w:t>
            </w:r>
            <w:proofErr w:type="spellStart"/>
            <w:r w:rsidRPr="00497B72">
              <w:rPr>
                <w:szCs w:val="22"/>
              </w:rPr>
              <w:t>detyrimit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për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taksën</w:t>
            </w:r>
            <w:proofErr w:type="spellEnd"/>
            <w:r w:rsidRPr="00497B72">
              <w:rPr>
                <w:szCs w:val="22"/>
              </w:rPr>
              <w:t xml:space="preserve"> e </w:t>
            </w:r>
            <w:proofErr w:type="spellStart"/>
            <w:r w:rsidRPr="00497B72">
              <w:rPr>
                <w:szCs w:val="22"/>
              </w:rPr>
              <w:t>pasurisë</w:t>
            </w:r>
            <w:proofErr w:type="spellEnd"/>
            <w:r w:rsidRPr="00497B72">
              <w:rPr>
                <w:spacing w:val="-3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ndërtesë</w:t>
            </w:r>
            <w:proofErr w:type="spellEnd"/>
            <w:r w:rsidRPr="00497B72">
              <w:rPr>
                <w:szCs w:val="22"/>
              </w:rPr>
              <w:t>/</w:t>
            </w:r>
            <w:proofErr w:type="spellStart"/>
            <w:r w:rsidRPr="00497B72">
              <w:rPr>
                <w:szCs w:val="22"/>
              </w:rPr>
              <w:t>njësi</w:t>
            </w:r>
            <w:proofErr w:type="spellEnd"/>
            <w:r w:rsidRPr="00497B72">
              <w:rPr>
                <w:spacing w:val="-1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pronësore</w:t>
            </w:r>
            <w:proofErr w:type="spellEnd"/>
            <w:r w:rsidRPr="00497B72">
              <w:rPr>
                <w:szCs w:val="22"/>
              </w:rPr>
              <w:t xml:space="preserve"> pas</w:t>
            </w:r>
            <w:r w:rsidRPr="00497B72">
              <w:rPr>
                <w:spacing w:val="-4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konstatimit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pacing w:val="-4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ndryshimeve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nga</w:t>
            </w:r>
            <w:proofErr w:type="spellEnd"/>
            <w:r w:rsidRPr="00497B72">
              <w:rPr>
                <w:spacing w:val="-4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verifikimi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në</w:t>
            </w:r>
            <w:proofErr w:type="spellEnd"/>
            <w:r w:rsidRPr="00497B72">
              <w:rPr>
                <w:spacing w:val="-7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terren</w:t>
            </w:r>
            <w:proofErr w:type="spellEnd"/>
            <w:r w:rsidRPr="00497B72">
              <w:rPr>
                <w:szCs w:val="22"/>
              </w:rPr>
              <w:t>,</w:t>
            </w:r>
            <w:r w:rsidRPr="00497B72">
              <w:rPr>
                <w:spacing w:val="-15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si</w:t>
            </w:r>
            <w:proofErr w:type="spellEnd"/>
            <w:r w:rsidRPr="00497B72">
              <w:rPr>
                <w:spacing w:val="-12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dhe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lidhur</w:t>
            </w:r>
            <w:proofErr w:type="spellEnd"/>
            <w:r w:rsidRPr="00497B72">
              <w:rPr>
                <w:szCs w:val="22"/>
              </w:rPr>
              <w:t xml:space="preserve"> me </w:t>
            </w:r>
            <w:proofErr w:type="spellStart"/>
            <w:r w:rsidRPr="00497B72">
              <w:rPr>
                <w:szCs w:val="22"/>
              </w:rPr>
              <w:t>ndryshimin</w:t>
            </w:r>
            <w:proofErr w:type="spellEnd"/>
            <w:r w:rsidRPr="00497B72">
              <w:rPr>
                <w:szCs w:val="22"/>
              </w:rPr>
              <w:t xml:space="preserve"> e</w:t>
            </w:r>
            <w:r w:rsidRPr="00497B72">
              <w:rPr>
                <w:spacing w:val="-1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përdorimit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pacing w:val="-1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ndërtesës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nga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sa</w:t>
            </w:r>
            <w:proofErr w:type="spellEnd"/>
            <w:r w:rsidRPr="00497B72">
              <w:rPr>
                <w:spacing w:val="-1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është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regjistruar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sistemin</w:t>
            </w:r>
            <w:proofErr w:type="spellEnd"/>
            <w:r w:rsidRPr="00497B72">
              <w:rPr>
                <w:szCs w:val="22"/>
              </w:rPr>
              <w:t xml:space="preserve"> e</w:t>
            </w:r>
            <w:r w:rsidRPr="00497B72">
              <w:rPr>
                <w:spacing w:val="40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bazës</w:t>
            </w:r>
            <w:proofErr w:type="spellEnd"/>
            <w:r w:rsidRPr="00497B72">
              <w:rPr>
                <w:spacing w:val="-4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së</w:t>
            </w:r>
            <w:proofErr w:type="spellEnd"/>
            <w:r w:rsidRPr="00497B72">
              <w:rPr>
                <w:spacing w:val="-1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zCs w:val="22"/>
              </w:rPr>
              <w:t xml:space="preserve"> </w:t>
            </w:r>
            <w:proofErr w:type="spellStart"/>
            <w:r w:rsidRPr="00497B72">
              <w:rPr>
                <w:spacing w:val="-2"/>
                <w:szCs w:val="22"/>
              </w:rPr>
              <w:t>dhënave</w:t>
            </w:r>
            <w:proofErr w:type="spellEnd"/>
            <w:r w:rsidRPr="00497B72">
              <w:rPr>
                <w:spacing w:val="-2"/>
                <w:szCs w:val="22"/>
              </w:rPr>
              <w:t>.</w:t>
            </w:r>
          </w:p>
          <w:p w14:paraId="00003CF5" w14:textId="28E36906" w:rsidR="00BC7A56" w:rsidRPr="00497B72" w:rsidRDefault="00BC7A56" w:rsidP="00497B72">
            <w:pPr>
              <w:pStyle w:val="Heading1"/>
              <w:numPr>
                <w:ilvl w:val="1"/>
                <w:numId w:val="5"/>
              </w:numPr>
              <w:tabs>
                <w:tab w:val="left" w:pos="797"/>
                <w:tab w:val="left" w:pos="801"/>
              </w:tabs>
              <w:spacing w:line="280" w:lineRule="auto"/>
              <w:ind w:left="797" w:right="745" w:hanging="259"/>
              <w:jc w:val="both"/>
              <w:outlineLvl w:val="0"/>
              <w:rPr>
                <w:b w:val="0"/>
                <w:sz w:val="24"/>
                <w:szCs w:val="22"/>
              </w:rPr>
            </w:pPr>
            <w:r w:rsidRPr="00497B72">
              <w:rPr>
                <w:b w:val="0"/>
                <w:sz w:val="24"/>
                <w:szCs w:val="22"/>
              </w:rPr>
              <w:t>Bazuar në nenin 22/5 të Ligjit Nr. 9632/2008 dhe në pikat 5, 7 dhe 8, të nenit 2 të</w:t>
            </w:r>
            <w:r w:rsidRPr="00497B72">
              <w:rPr>
                <w:b w:val="0"/>
                <w:spacing w:val="80"/>
                <w:sz w:val="24"/>
                <w:szCs w:val="22"/>
              </w:rPr>
              <w:t xml:space="preserve"> </w:t>
            </w:r>
            <w:r w:rsidRPr="00497B72">
              <w:rPr>
                <w:b w:val="0"/>
                <w:sz w:val="24"/>
                <w:szCs w:val="22"/>
              </w:rPr>
              <w:t xml:space="preserve">VKM Nr. 132/2018, </w:t>
            </w:r>
            <w:r w:rsidRPr="00497B72">
              <w:rPr>
                <w:sz w:val="24"/>
                <w:szCs w:val="22"/>
              </w:rPr>
              <w:t xml:space="preserve">njësia e vetëqeverisjes vendore është autoriteti përgjegjës për administrimin e taksës mbi ndërtesat nën juridiksionin e saj, </w:t>
            </w:r>
            <w:r w:rsidR="00497B72">
              <w:rPr>
                <w:sz w:val="24"/>
                <w:szCs w:val="22"/>
              </w:rPr>
              <w:t xml:space="preserve">përmes mbledhjes dhe menaxhimit </w:t>
            </w:r>
            <w:r w:rsidRPr="00497B72">
              <w:rPr>
                <w:sz w:val="24"/>
                <w:szCs w:val="22"/>
              </w:rPr>
              <w:t xml:space="preserve">të </w:t>
            </w:r>
            <w:r w:rsidRPr="00497B72">
              <w:rPr>
                <w:sz w:val="24"/>
                <w:szCs w:val="22"/>
              </w:rPr>
              <w:lastRenderedPageBreak/>
              <w:t>informacioneve mbi ndërtesën për qëllime fiskale, si dhe njësia e vetëqeverisjes vendore duke përdorur të dhënat e mbledhura për ndërtesën/njësinë pasurore, përcakton bazën e taksës dhe llogarit shumën e</w:t>
            </w:r>
            <w:r w:rsidRPr="00497B72">
              <w:rPr>
                <w:spacing w:val="-2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taksës vjetore të</w:t>
            </w:r>
            <w:r w:rsidRPr="00497B72">
              <w:rPr>
                <w:spacing w:val="-4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ndërtesës për</w:t>
            </w:r>
            <w:r w:rsidRPr="00497B72">
              <w:rPr>
                <w:spacing w:val="-5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t'u paguar nga</w:t>
            </w:r>
            <w:r w:rsidR="00497B72">
              <w:rPr>
                <w:spacing w:val="70"/>
                <w:sz w:val="24"/>
                <w:szCs w:val="22"/>
              </w:rPr>
              <w:t xml:space="preserve"> çdo</w:t>
            </w:r>
            <w:r w:rsidRPr="00497B72">
              <w:rPr>
                <w:spacing w:val="40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taksapagues.</w:t>
            </w:r>
          </w:p>
          <w:p w14:paraId="242F4145" w14:textId="77777777" w:rsidR="00BC7A56" w:rsidRPr="00497B72" w:rsidRDefault="00BC7A56" w:rsidP="00497B72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801"/>
              </w:tabs>
              <w:autoSpaceDE w:val="0"/>
              <w:autoSpaceDN w:val="0"/>
              <w:spacing w:after="0" w:line="261" w:lineRule="exact"/>
              <w:ind w:left="801" w:hanging="267"/>
              <w:contextualSpacing w:val="0"/>
              <w:jc w:val="both"/>
              <w:rPr>
                <w:szCs w:val="22"/>
              </w:rPr>
            </w:pPr>
            <w:proofErr w:type="spellStart"/>
            <w:r w:rsidRPr="00497B72">
              <w:rPr>
                <w:szCs w:val="22"/>
              </w:rPr>
              <w:t>Bazuar</w:t>
            </w:r>
            <w:proofErr w:type="spellEnd"/>
            <w:r w:rsidRPr="00497B72">
              <w:rPr>
                <w:spacing w:val="24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në</w:t>
            </w:r>
            <w:proofErr w:type="spellEnd"/>
            <w:r w:rsidRPr="00497B72">
              <w:rPr>
                <w:spacing w:val="7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shkronjën</w:t>
            </w:r>
            <w:proofErr w:type="spellEnd"/>
            <w:r w:rsidRPr="00497B72">
              <w:rPr>
                <w:spacing w:val="21"/>
                <w:szCs w:val="22"/>
              </w:rPr>
              <w:t xml:space="preserve"> </w:t>
            </w:r>
            <w:r w:rsidRPr="00497B72">
              <w:rPr>
                <w:szCs w:val="22"/>
              </w:rPr>
              <w:t>"a"</w:t>
            </w:r>
            <w:r w:rsidRPr="00497B72">
              <w:rPr>
                <w:spacing w:val="33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pacing w:val="3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pikës</w:t>
            </w:r>
            <w:proofErr w:type="spellEnd"/>
            <w:r w:rsidRPr="00497B72">
              <w:rPr>
                <w:spacing w:val="17"/>
                <w:szCs w:val="22"/>
              </w:rPr>
              <w:t xml:space="preserve"> </w:t>
            </w:r>
            <w:r w:rsidRPr="00497B72">
              <w:rPr>
                <w:szCs w:val="22"/>
              </w:rPr>
              <w:t>1,</w:t>
            </w:r>
            <w:r w:rsidRPr="00497B72">
              <w:rPr>
                <w:spacing w:val="4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pacing w:val="16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nenit</w:t>
            </w:r>
            <w:proofErr w:type="spellEnd"/>
            <w:r w:rsidRPr="00497B72">
              <w:rPr>
                <w:spacing w:val="17"/>
                <w:szCs w:val="22"/>
              </w:rPr>
              <w:t xml:space="preserve"> </w:t>
            </w:r>
            <w:r w:rsidRPr="00497B72">
              <w:rPr>
                <w:szCs w:val="22"/>
              </w:rPr>
              <w:t>5</w:t>
            </w:r>
            <w:r w:rsidRPr="00497B72">
              <w:rPr>
                <w:spacing w:val="8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dhe</w:t>
            </w:r>
            <w:proofErr w:type="spellEnd"/>
            <w:r w:rsidRPr="00497B72">
              <w:rPr>
                <w:spacing w:val="20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nenin</w:t>
            </w:r>
            <w:proofErr w:type="spellEnd"/>
            <w:r w:rsidRPr="00497B72">
              <w:rPr>
                <w:spacing w:val="20"/>
                <w:szCs w:val="22"/>
              </w:rPr>
              <w:t xml:space="preserve"> </w:t>
            </w:r>
            <w:r w:rsidRPr="00497B72">
              <w:rPr>
                <w:szCs w:val="22"/>
              </w:rPr>
              <w:t>2,</w:t>
            </w:r>
            <w:r w:rsidRPr="00497B72">
              <w:rPr>
                <w:spacing w:val="9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të</w:t>
            </w:r>
            <w:proofErr w:type="spellEnd"/>
            <w:r w:rsidRPr="00497B72">
              <w:rPr>
                <w:spacing w:val="9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Ligjit</w:t>
            </w:r>
            <w:proofErr w:type="spellEnd"/>
            <w:r w:rsidRPr="00497B72">
              <w:rPr>
                <w:spacing w:val="17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Nr</w:t>
            </w:r>
            <w:proofErr w:type="spellEnd"/>
            <w:r w:rsidRPr="00497B72">
              <w:rPr>
                <w:szCs w:val="22"/>
              </w:rPr>
              <w:t>.</w:t>
            </w:r>
            <w:r w:rsidRPr="00497B72">
              <w:rPr>
                <w:spacing w:val="10"/>
                <w:szCs w:val="22"/>
              </w:rPr>
              <w:t xml:space="preserve"> </w:t>
            </w:r>
            <w:r w:rsidRPr="00497B72">
              <w:rPr>
                <w:szCs w:val="22"/>
              </w:rPr>
              <w:t>9920,</w:t>
            </w:r>
            <w:r w:rsidRPr="00497B72">
              <w:rPr>
                <w:spacing w:val="9"/>
                <w:szCs w:val="22"/>
              </w:rPr>
              <w:t xml:space="preserve"> </w:t>
            </w:r>
            <w:proofErr w:type="spellStart"/>
            <w:r w:rsidRPr="00497B72">
              <w:rPr>
                <w:szCs w:val="22"/>
              </w:rPr>
              <w:t>datë</w:t>
            </w:r>
            <w:proofErr w:type="spellEnd"/>
            <w:r w:rsidRPr="00497B72">
              <w:rPr>
                <w:spacing w:val="30"/>
                <w:szCs w:val="22"/>
              </w:rPr>
              <w:t xml:space="preserve"> </w:t>
            </w:r>
            <w:r w:rsidRPr="00497B72">
              <w:rPr>
                <w:spacing w:val="-2"/>
                <w:szCs w:val="22"/>
              </w:rPr>
              <w:t>19.05.2008,</w:t>
            </w:r>
          </w:p>
          <w:p w14:paraId="43E7CBBC" w14:textId="77777777" w:rsidR="00BC7A56" w:rsidRPr="00497B72" w:rsidRDefault="00BC7A56" w:rsidP="00497B72">
            <w:pPr>
              <w:spacing w:before="42" w:line="276" w:lineRule="auto"/>
              <w:ind w:left="801" w:right="739" w:hanging="11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7B72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proçedurat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tatimore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Republikën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e</w:t>
            </w:r>
            <w:r w:rsidRPr="00497B7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Shqipërisë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",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ndryshuar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njësitë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tatimore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40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qeverisjes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vendore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ngarkuara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administrimin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tatimeve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taksave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kontributeve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nivel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vendor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interpretojnë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zbatojnë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Ligjin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. 9920,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datë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19.05.2008, "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proçedurat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tratimore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Republiken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Shqiperisë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",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ndryshuar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14:paraId="2E7FC07E" w14:textId="77777777" w:rsidR="00BC7A56" w:rsidRPr="00497B72" w:rsidRDefault="00BC7A56" w:rsidP="00497B72">
            <w:pPr>
              <w:spacing w:before="146" w:line="280" w:lineRule="auto"/>
              <w:ind w:left="117" w:right="738" w:firstLine="7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Përsa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më</w:t>
            </w:r>
            <w:proofErr w:type="spellEnd"/>
            <w:r w:rsidRPr="00497B7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sipër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bazuar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legjislacionin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fuqi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>,</w:t>
            </w:r>
            <w:r w:rsidRPr="00497B7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Bashkia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Durrës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Këshilli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Bashkiak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31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497B7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Bashkisë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Durrës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jan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autoritetet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përgjegjëse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vendimmarrjen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497B72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përputhje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me</w:t>
            </w:r>
            <w:r w:rsidRPr="00497B7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legjislacionin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28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fuqi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497B7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çështjen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2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lidhur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me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momentin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21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se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nga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cili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vit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do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fillojë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ngarkesa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18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fiskale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26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pasuritë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e</w:t>
            </w:r>
            <w:r w:rsidRPr="00497B7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paluajtshme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paregjistruara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sz w:val="24"/>
              </w:rPr>
              <w:t>sistem</w:t>
            </w:r>
            <w:proofErr w:type="spellEnd"/>
            <w:r w:rsidRPr="00497B72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pasi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bazuar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Ligjin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Nr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. 139/2015,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Ligjin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Nr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. 9632/2006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Ligjin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lastRenderedPageBreak/>
              <w:t>Nr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. 9920/2008,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VKM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Nr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. 132/2018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njësia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vetëqeverisjes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vendore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është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autoriteti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39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përgjegjës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administrimin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36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taksës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mbi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ndërtesat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30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nën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juridiksionin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26"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saj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përmes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mbledhjes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24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menaxhimit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informacioneve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mbi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ndërtesën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qëllime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fiskale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si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njësia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i/>
                <w:sz w:val="24"/>
              </w:rPr>
              <w:t xml:space="preserve">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vetëqeverisjes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vendore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duke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përdorur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15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dhënat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i/>
                <w:sz w:val="24"/>
              </w:rPr>
              <w:t>e</w:t>
            </w:r>
            <w:r w:rsidRPr="00497B72">
              <w:rPr>
                <w:rFonts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mbledhura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ndërtesën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njësinë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pasurore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përcakton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bazën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497B72">
              <w:rPr>
                <w:rFonts w:ascii="Times New Roman" w:hAnsi="Times New Roman" w:cs="Times New Roman"/>
                <w:i/>
                <w:sz w:val="24"/>
              </w:rPr>
              <w:t>e</w:t>
            </w:r>
            <w:r w:rsidRPr="00497B72">
              <w:rPr>
                <w:rFonts w:ascii="Times New Roman" w:hAnsi="Times New Roman" w:cs="Times New Roman"/>
                <w:i/>
                <w:spacing w:val="-14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taksës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llogarit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shumën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taksës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vjetore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ndërtesës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t'u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paguar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nga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çdo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taksapagues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si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Këshilli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Bashkiak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vendos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për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taksat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e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tar</w:t>
            </w:r>
            <w:r w:rsidRPr="00497B72">
              <w:rPr>
                <w:rFonts w:ascii="Times New Roman" w:hAnsi="Times New Roman" w:cs="Times New Roman"/>
                <w:i/>
                <w:sz w:val="24"/>
              </w:rPr>
              <w:t>if</w:t>
            </w:r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at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vendore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sipas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këtij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ligji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dhe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legjislacionit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tjetër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në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fuqi</w:t>
            </w:r>
            <w:proofErr w:type="spellEnd"/>
            <w:r w:rsidRPr="00497B72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14:paraId="38D29DE9" w14:textId="0DF00900" w:rsidR="00D22ACD" w:rsidRPr="00497B72" w:rsidRDefault="00BC7A56" w:rsidP="00497B72">
            <w:pPr>
              <w:pStyle w:val="BodyText"/>
              <w:spacing w:before="151" w:line="280" w:lineRule="auto"/>
              <w:ind w:left="119" w:right="733" w:hanging="2"/>
              <w:jc w:val="both"/>
              <w:rPr>
                <w:sz w:val="24"/>
                <w:szCs w:val="22"/>
              </w:rPr>
            </w:pPr>
            <w:r w:rsidRPr="00497B72">
              <w:rPr>
                <w:sz w:val="24"/>
                <w:szCs w:val="22"/>
              </w:rPr>
              <w:t>Ndërkohë, bazuar në nenin 22/4, të Ligjit Nr. 9632/2006 dhe në pikën 3, të VKM Nr. 171, datë 28.03.2018, "Për organizimin dhe funksionimin e Drejtorisë Përgjithshme të Taksës së Pasurisë", Drejtoria e</w:t>
            </w:r>
            <w:r w:rsidRPr="00497B72">
              <w:rPr>
                <w:spacing w:val="-6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Përgjithshme e</w:t>
            </w:r>
            <w:r w:rsidRPr="00497B72">
              <w:rPr>
                <w:spacing w:val="-9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Taksës së</w:t>
            </w:r>
            <w:r w:rsidRPr="00497B72">
              <w:rPr>
                <w:spacing w:val="-4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Pasurisë shpreh gatishmërinë e</w:t>
            </w:r>
            <w:r w:rsidRPr="00497B72">
              <w:rPr>
                <w:spacing w:val="-9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saj për</w:t>
            </w:r>
            <w:r w:rsidRPr="00497B72">
              <w:rPr>
                <w:spacing w:val="-2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të ofruar asistencën e</w:t>
            </w:r>
            <w:r w:rsidRPr="00497B72">
              <w:rPr>
                <w:spacing w:val="-4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saj</w:t>
            </w:r>
            <w:r w:rsidRPr="00497B72">
              <w:rPr>
                <w:spacing w:val="-2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për çdo paqartësi në lidhje me kuadrin ligjor të taksës mbi pasurinë e</w:t>
            </w:r>
            <w:r w:rsidRPr="00497B72">
              <w:rPr>
                <w:spacing w:val="-3"/>
                <w:sz w:val="24"/>
                <w:szCs w:val="22"/>
              </w:rPr>
              <w:t xml:space="preserve"> </w:t>
            </w:r>
            <w:r w:rsidRPr="00497B72">
              <w:rPr>
                <w:sz w:val="24"/>
                <w:szCs w:val="22"/>
              </w:rPr>
              <w:t>paluajtshme.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0300CB2A" w14:textId="06CDCBAF" w:rsidR="00D22ACD" w:rsidRPr="00497B72" w:rsidRDefault="00497B72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lastRenderedPageBreak/>
              <w:t>E plotë</w:t>
            </w:r>
          </w:p>
        </w:tc>
        <w:tc>
          <w:tcPr>
            <w:tcW w:w="992" w:type="dxa"/>
          </w:tcPr>
          <w:p w14:paraId="507EC3BA" w14:textId="200B9B7E" w:rsidR="00D22ACD" w:rsidRPr="00497B72" w:rsidRDefault="00497B72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Nuk ka</w:t>
            </w:r>
          </w:p>
        </w:tc>
      </w:tr>
      <w:tr w:rsidR="00497B72" w:rsidRPr="00497B72" w14:paraId="3E4C1391" w14:textId="77777777" w:rsidTr="00497B72">
        <w:trPr>
          <w:trHeight w:val="348"/>
        </w:trPr>
        <w:tc>
          <w:tcPr>
            <w:tcW w:w="549" w:type="dxa"/>
          </w:tcPr>
          <w:p w14:paraId="3E790443" w14:textId="2A2158CB" w:rsidR="00F51EBE" w:rsidRPr="00497B72" w:rsidRDefault="00D22ACD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lastRenderedPageBreak/>
              <w:t>2</w:t>
            </w:r>
          </w:p>
        </w:tc>
        <w:tc>
          <w:tcPr>
            <w:tcW w:w="1349" w:type="dxa"/>
          </w:tcPr>
          <w:p w14:paraId="2D7B9A89" w14:textId="34044C41" w:rsidR="00F51EBE" w:rsidRPr="00497B72" w:rsidRDefault="000112E0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>13</w:t>
            </w:r>
            <w:r w:rsidR="00F51EBE" w:rsidRPr="00497B72">
              <w:rPr>
                <w:rFonts w:ascii="Times New Roman" w:hAnsi="Times New Roman" w:cs="Times New Roman"/>
                <w:sz w:val="24"/>
                <w:lang w:val="sq-AL"/>
              </w:rPr>
              <w:t>.</w:t>
            </w: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>02.2025</w:t>
            </w:r>
          </w:p>
          <w:p w14:paraId="427D51FD" w14:textId="77777777" w:rsidR="00F51EBE" w:rsidRPr="00497B72" w:rsidRDefault="00F51EBE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  <w:p w14:paraId="2DF784D6" w14:textId="77777777" w:rsidR="00F51EBE" w:rsidRPr="00497B72" w:rsidRDefault="00F51EBE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  <w:p w14:paraId="74357367" w14:textId="77777777" w:rsidR="00F51EBE" w:rsidRPr="00497B72" w:rsidRDefault="00F51EBE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  <w:p w14:paraId="2CA650F6" w14:textId="77777777" w:rsidR="00F51EBE" w:rsidRPr="00497B72" w:rsidRDefault="00F51EBE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  <w:p w14:paraId="612A5982" w14:textId="77777777" w:rsidR="00F51EBE" w:rsidRPr="00497B72" w:rsidRDefault="00F51EBE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  <w:p w14:paraId="3877F34E" w14:textId="77777777" w:rsidR="00F51EBE" w:rsidRPr="00497B72" w:rsidRDefault="00F51EBE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  <w:p w14:paraId="4693399A" w14:textId="77777777" w:rsidR="00F51EBE" w:rsidRPr="00497B72" w:rsidRDefault="00F51EBE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  <w:p w14:paraId="6C861C89" w14:textId="77777777" w:rsidR="00F51EBE" w:rsidRPr="00497B72" w:rsidRDefault="00F51EBE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  <w:p w14:paraId="43A55F5F" w14:textId="77777777" w:rsidR="00F51EBE" w:rsidRPr="00497B72" w:rsidRDefault="00F51EBE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1260" w:type="dxa"/>
          </w:tcPr>
          <w:p w14:paraId="3A48A1F8" w14:textId="593754C0" w:rsidR="00F51EBE" w:rsidRPr="00497B72" w:rsidRDefault="000112E0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>Kërkesë për bashkëpunim dhe informacion</w:t>
            </w:r>
          </w:p>
        </w:tc>
        <w:tc>
          <w:tcPr>
            <w:tcW w:w="1361" w:type="dxa"/>
          </w:tcPr>
          <w:p w14:paraId="0F7A747F" w14:textId="61D47D22" w:rsidR="00F51EBE" w:rsidRPr="00497B72" w:rsidRDefault="000112E0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>24.02.2025</w:t>
            </w:r>
          </w:p>
        </w:tc>
        <w:tc>
          <w:tcPr>
            <w:tcW w:w="4678" w:type="dxa"/>
          </w:tcPr>
          <w:p w14:paraId="71E68BEB" w14:textId="77777777" w:rsidR="000112E0" w:rsidRPr="00497B72" w:rsidRDefault="000112E0" w:rsidP="00497B72">
            <w:pPr>
              <w:tabs>
                <w:tab w:val="left" w:pos="238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 xml:space="preserve">Në përgjigje të kërkesës suaj Nr. 3906 Prot., datë 13.02.2025, me lëndë “Kërkesë për bashkëpunim dhe informacion”, protokolluar me tonën me Nr. 85 datë 13.02.2025, ju informojmë si më poshtë vijon: </w:t>
            </w:r>
          </w:p>
          <w:p w14:paraId="3492BAEC" w14:textId="77777777" w:rsidR="000112E0" w:rsidRPr="00497B72" w:rsidRDefault="000112E0" w:rsidP="00497B72">
            <w:pPr>
              <w:pStyle w:val="ListParagraph"/>
              <w:numPr>
                <w:ilvl w:val="0"/>
                <w:numId w:val="4"/>
              </w:numPr>
              <w:tabs>
                <w:tab w:val="left" w:pos="2385"/>
              </w:tabs>
              <w:spacing w:after="160" w:line="276" w:lineRule="auto"/>
              <w:jc w:val="both"/>
              <w:rPr>
                <w:rStyle w:val="fontstyle01"/>
                <w:color w:val="auto"/>
                <w:szCs w:val="22"/>
                <w:lang w:val="sq-AL"/>
              </w:rPr>
            </w:pPr>
            <w:r w:rsidRPr="00497B72">
              <w:rPr>
                <w:szCs w:val="22"/>
                <w:lang w:val="sq-AL"/>
              </w:rPr>
              <w:t xml:space="preserve">Në pikën 1, të nenit 20, të Ligjit Nr. 9632/2006, “Për sistemin e taksave vendore”, i ndryshuar, përcaktohen llojet e taksapaguesve që i nënshtrohen taksës mbi pasurinë e paluajtshme. Ndërkohë, në </w:t>
            </w:r>
            <w:r w:rsidRPr="00497B72">
              <w:rPr>
                <w:szCs w:val="22"/>
                <w:lang w:val="sq-AL"/>
              </w:rPr>
              <w:lastRenderedPageBreak/>
              <w:t xml:space="preserve">pikat 1, 2, dhe 3, të nenit 22, të Ligjit Nr. 9632/2006, si dhe në pikën 10, të nenit 1, të VKM Nr. 132/2018, datë 7.3.2018, “Për metodologjinë për përcaktimin e vlerës së taksueshme të pasurisë së paluajtshme “ndërtesa”, e bazës së taksës për kategori specifike, natyrën dhe prioritetin e informacionit dhe të dhënave për përcaktimin e bazës së taksës, si dhe të kritereve dhe rregullave për vlerësimin alternativ të detyrimit të taksës”, i ndryshuar, </w:t>
            </w:r>
            <w:r w:rsidRPr="00497B72">
              <w:rPr>
                <w:b/>
                <w:i/>
                <w:szCs w:val="22"/>
                <w:lang w:val="sq-AL"/>
              </w:rPr>
              <w:t>përcaktohen llojet e taksapaguesve që i nënshtrohen taksës mbi ndërtesat</w:t>
            </w:r>
            <w:r w:rsidRPr="00497B72">
              <w:rPr>
                <w:b/>
                <w:szCs w:val="22"/>
                <w:lang w:val="sq-AL"/>
              </w:rPr>
              <w:t>.</w:t>
            </w:r>
            <w:r w:rsidRPr="00497B72">
              <w:rPr>
                <w:szCs w:val="22"/>
                <w:lang w:val="sq-AL"/>
              </w:rPr>
              <w:t xml:space="preserve"> Gjithashtu, në pikën 8, të nenit 1, të VKM Nr. 132/2018</w:t>
            </w:r>
            <w:r w:rsidRPr="00497B72">
              <w:rPr>
                <w:b/>
                <w:i/>
                <w:szCs w:val="22"/>
                <w:lang w:val="sq-AL"/>
              </w:rPr>
              <w:t>, përcaktohet përkufizimi i termit “përdorues” për qëllim të zbatimit të metodologjisë për përcaktimin e bazës së taksueshme të pasurisë së paluajtshme “ndërtesë”, të parashikuar në këtë VKM</w:t>
            </w:r>
            <w:r w:rsidRPr="00497B72">
              <w:rPr>
                <w:rStyle w:val="fontstyle01"/>
                <w:b/>
                <w:color w:val="auto"/>
                <w:szCs w:val="22"/>
                <w:lang w:val="sq-AL"/>
              </w:rPr>
              <w:t>.</w:t>
            </w:r>
          </w:p>
          <w:p w14:paraId="7C19AFA5" w14:textId="77777777" w:rsidR="000112E0" w:rsidRPr="00497B72" w:rsidRDefault="000112E0" w:rsidP="00497B72">
            <w:pPr>
              <w:pStyle w:val="ListParagraph"/>
              <w:tabs>
                <w:tab w:val="left" w:pos="2385"/>
              </w:tabs>
              <w:ind w:left="360"/>
              <w:jc w:val="both"/>
              <w:rPr>
                <w:rStyle w:val="fontstyle01"/>
                <w:color w:val="auto"/>
                <w:szCs w:val="22"/>
                <w:lang w:val="sq-AL"/>
              </w:rPr>
            </w:pPr>
            <w:r w:rsidRPr="00497B72">
              <w:rPr>
                <w:rStyle w:val="fontstyle01"/>
                <w:b/>
                <w:color w:val="auto"/>
                <w:szCs w:val="22"/>
                <w:lang w:val="sq-AL"/>
              </w:rPr>
              <w:t xml:space="preserve"> </w:t>
            </w:r>
          </w:p>
          <w:p w14:paraId="00744AD3" w14:textId="77777777" w:rsidR="000112E0" w:rsidRPr="00497B72" w:rsidRDefault="000112E0" w:rsidP="00497B72">
            <w:pPr>
              <w:pStyle w:val="ListParagraph"/>
              <w:numPr>
                <w:ilvl w:val="0"/>
                <w:numId w:val="4"/>
              </w:numPr>
              <w:tabs>
                <w:tab w:val="left" w:pos="2385"/>
              </w:tabs>
              <w:spacing w:after="160" w:line="276" w:lineRule="auto"/>
              <w:jc w:val="both"/>
              <w:rPr>
                <w:szCs w:val="22"/>
                <w:lang w:val="sq-AL"/>
              </w:rPr>
            </w:pPr>
            <w:r w:rsidRPr="00497B72">
              <w:rPr>
                <w:szCs w:val="22"/>
                <w:lang w:val="sq-AL"/>
              </w:rPr>
              <w:t xml:space="preserve">Bazuar në pikën 6, të nenit 22, të Ligjit Nr. 9632/2006, ndër pasuritë e paluajtshme-ndërtesë që përjashtohen nga taksa mbi ndërtesat janë edhe </w:t>
            </w:r>
            <w:r w:rsidRPr="00497B72">
              <w:rPr>
                <w:b/>
                <w:i/>
                <w:szCs w:val="22"/>
                <w:lang w:val="sq-AL"/>
              </w:rPr>
              <w:t xml:space="preserve">pronat e shtetit dhe të njësive të qeverisjes vendore, që përdoren për qëllime jofitimprurëse; </w:t>
            </w:r>
            <w:r w:rsidRPr="00497B72">
              <w:rPr>
                <w:szCs w:val="22"/>
                <w:lang w:val="sq-AL"/>
              </w:rPr>
              <w:t>dhe</w:t>
            </w:r>
            <w:r w:rsidRPr="00497B72">
              <w:rPr>
                <w:b/>
                <w:i/>
                <w:szCs w:val="22"/>
                <w:lang w:val="sq-AL"/>
              </w:rPr>
              <w:t xml:space="preserve"> banesat sociale në pronësi të bashkive; </w:t>
            </w:r>
            <w:r w:rsidRPr="00497B72">
              <w:rPr>
                <w:szCs w:val="22"/>
                <w:lang w:val="sq-AL"/>
              </w:rPr>
              <w:t>si dhe</w:t>
            </w:r>
            <w:r w:rsidRPr="00497B72">
              <w:rPr>
                <w:b/>
                <w:szCs w:val="22"/>
                <w:lang w:val="sq-AL"/>
              </w:rPr>
              <w:t xml:space="preserve"> </w:t>
            </w:r>
            <w:r w:rsidRPr="00497B72">
              <w:rPr>
                <w:b/>
                <w:i/>
                <w:szCs w:val="22"/>
                <w:lang w:val="sq-AL"/>
              </w:rPr>
              <w:t>pasuritë e paluajtshme-ndërtesa, pronë e subjekteve juridike ose fizike, që në bazë të marrëveshjeve me bashkitë përdoren nga këto të fundit si banesa sociale</w:t>
            </w:r>
            <w:r w:rsidRPr="00497B72">
              <w:rPr>
                <w:b/>
                <w:szCs w:val="22"/>
                <w:lang w:val="sq-AL"/>
              </w:rPr>
              <w:t>.</w:t>
            </w:r>
          </w:p>
          <w:p w14:paraId="08673A20" w14:textId="77777777" w:rsidR="000112E0" w:rsidRPr="00497B72" w:rsidRDefault="000112E0" w:rsidP="00497B72">
            <w:pPr>
              <w:pStyle w:val="ListParagraph"/>
              <w:jc w:val="both"/>
              <w:rPr>
                <w:szCs w:val="22"/>
                <w:lang w:val="sq-AL"/>
              </w:rPr>
            </w:pPr>
          </w:p>
          <w:p w14:paraId="7B2D9D50" w14:textId="77777777" w:rsidR="000112E0" w:rsidRPr="00497B72" w:rsidRDefault="000112E0" w:rsidP="00497B72">
            <w:pPr>
              <w:pStyle w:val="ListParagraph"/>
              <w:numPr>
                <w:ilvl w:val="0"/>
                <w:numId w:val="4"/>
              </w:numPr>
              <w:tabs>
                <w:tab w:val="left" w:pos="2385"/>
              </w:tabs>
              <w:spacing w:after="160" w:line="276" w:lineRule="auto"/>
              <w:jc w:val="both"/>
              <w:rPr>
                <w:szCs w:val="22"/>
                <w:lang w:val="sq-AL"/>
              </w:rPr>
            </w:pPr>
            <w:r w:rsidRPr="00497B72">
              <w:rPr>
                <w:szCs w:val="22"/>
                <w:lang w:val="sq-AL"/>
              </w:rPr>
              <w:t xml:space="preserve">Në pikat 6,7, dhe 11, të nenit 1, të VKM Nr. 132/2018, </w:t>
            </w:r>
            <w:r w:rsidRPr="00497B72">
              <w:rPr>
                <w:b/>
                <w:i/>
                <w:szCs w:val="22"/>
                <w:lang w:val="sq-AL"/>
              </w:rPr>
              <w:t>parashikohen respektivisht përkufizimet e termave “Ndarje e njësisë pronësore për banim”; “Ndarje e njësisë pronësore për veprimtari ekonomike” dhe “Veprimtari ekonomike”.</w:t>
            </w:r>
            <w:r w:rsidRPr="00497B72">
              <w:rPr>
                <w:szCs w:val="22"/>
                <w:lang w:val="sq-AL"/>
              </w:rPr>
              <w:t xml:space="preserve"> </w:t>
            </w:r>
          </w:p>
          <w:p w14:paraId="1FF8FA8A" w14:textId="77777777" w:rsidR="000112E0" w:rsidRPr="00497B72" w:rsidRDefault="000112E0" w:rsidP="00497B72">
            <w:pPr>
              <w:pStyle w:val="ListParagraph"/>
              <w:jc w:val="both"/>
              <w:rPr>
                <w:szCs w:val="22"/>
                <w:lang w:val="sq-AL"/>
              </w:rPr>
            </w:pPr>
          </w:p>
          <w:p w14:paraId="2DB054BA" w14:textId="77777777" w:rsidR="000112E0" w:rsidRPr="00497B72" w:rsidRDefault="000112E0" w:rsidP="00497B72">
            <w:pPr>
              <w:pStyle w:val="ListParagraph"/>
              <w:numPr>
                <w:ilvl w:val="0"/>
                <w:numId w:val="4"/>
              </w:numPr>
              <w:tabs>
                <w:tab w:val="left" w:pos="2385"/>
              </w:tabs>
              <w:spacing w:after="160" w:line="276" w:lineRule="auto"/>
              <w:jc w:val="both"/>
              <w:rPr>
                <w:szCs w:val="22"/>
                <w:lang w:val="sq-AL"/>
              </w:rPr>
            </w:pPr>
            <w:r w:rsidRPr="00497B72">
              <w:rPr>
                <w:szCs w:val="22"/>
                <w:lang w:val="sq-AL"/>
              </w:rPr>
              <w:lastRenderedPageBreak/>
              <w:t xml:space="preserve">Në Aneksin 1, të VKM Nr. 132/2018, </w:t>
            </w:r>
            <w:r w:rsidRPr="00497B72">
              <w:rPr>
                <w:b/>
                <w:i/>
                <w:szCs w:val="22"/>
                <w:lang w:val="sq-AL"/>
              </w:rPr>
              <w:t>parashikohen çmimet mesatare referuese për metër katror sipërfaqe ndërtimi për vlerësimin e vlerës së taksueshme për banesat</w:t>
            </w:r>
            <w:r w:rsidRPr="00497B72">
              <w:rPr>
                <w:szCs w:val="22"/>
                <w:lang w:val="sq-AL"/>
              </w:rPr>
              <w:t xml:space="preserve">. Ndërkohë, në Aneksin 2, të VKM Nr. 132/2018 </w:t>
            </w:r>
            <w:r w:rsidRPr="00497B72">
              <w:rPr>
                <w:b/>
                <w:i/>
                <w:szCs w:val="22"/>
                <w:lang w:val="sq-AL"/>
              </w:rPr>
              <w:t>parashikohet çmimet mesatare referuese për metër katror sipërfaqe ndërtimi për vlerësimin e vlerës së taksueshme për ndërtime dhe ambiente jobanimi.</w:t>
            </w:r>
          </w:p>
          <w:p w14:paraId="60AF402E" w14:textId="77777777" w:rsidR="000112E0" w:rsidRPr="00497B72" w:rsidRDefault="000112E0" w:rsidP="00497B72">
            <w:pPr>
              <w:pStyle w:val="ListParagraph"/>
              <w:jc w:val="both"/>
              <w:rPr>
                <w:szCs w:val="22"/>
                <w:lang w:val="sq-AL"/>
              </w:rPr>
            </w:pPr>
          </w:p>
          <w:p w14:paraId="3E3E1208" w14:textId="77777777" w:rsidR="000112E0" w:rsidRPr="00497B72" w:rsidRDefault="000112E0" w:rsidP="00497B72">
            <w:pPr>
              <w:pStyle w:val="ListParagraph"/>
              <w:numPr>
                <w:ilvl w:val="0"/>
                <w:numId w:val="4"/>
              </w:numPr>
              <w:tabs>
                <w:tab w:val="left" w:pos="2385"/>
              </w:tabs>
              <w:spacing w:after="160" w:line="276" w:lineRule="auto"/>
              <w:jc w:val="both"/>
              <w:rPr>
                <w:szCs w:val="22"/>
                <w:lang w:val="sq-AL"/>
              </w:rPr>
            </w:pPr>
            <w:r w:rsidRPr="00497B72">
              <w:rPr>
                <w:szCs w:val="22"/>
                <w:lang w:val="sq-AL"/>
              </w:rPr>
              <w:t xml:space="preserve">Bazuar në nenin 22/5 të Ligjit Nr. 9632/2008 dhe në pikat 5, 7 dhe 8, të nenit 2, të VKM Nr. 132/2018, </w:t>
            </w:r>
            <w:r w:rsidRPr="00497B72">
              <w:rPr>
                <w:b/>
                <w:szCs w:val="22"/>
                <w:lang w:val="sq-AL"/>
              </w:rPr>
              <w:t>njësia e vetëqeverisjes vendore është autoriteti përgjegjës për administrimin e taksës mbi ndërtesat nën juridiksionin e saj, përmes mbledhjes dhe menaxhimit të informacioneve mbi ndërtesën për qëllime fiskale, si dhe njësia e vetëqeverisjes vendore duke përdorur të dhënat e mbledhura për ndërtesën/njësinë pasurore, përcakton bazën e taksës dhe llogarit shumën e taksës vjetore të ndërtesës për t’u paguar nga çdo taksapagues.</w:t>
            </w:r>
          </w:p>
          <w:p w14:paraId="6E469744" w14:textId="77777777" w:rsidR="000112E0" w:rsidRPr="00497B72" w:rsidRDefault="000112E0" w:rsidP="00497B72">
            <w:pPr>
              <w:pStyle w:val="ListParagraph"/>
              <w:jc w:val="both"/>
              <w:rPr>
                <w:szCs w:val="22"/>
                <w:lang w:val="sq-AL"/>
              </w:rPr>
            </w:pPr>
          </w:p>
          <w:p w14:paraId="25260E28" w14:textId="77777777" w:rsidR="000112E0" w:rsidRPr="00497B72" w:rsidRDefault="000112E0" w:rsidP="00497B72">
            <w:pPr>
              <w:tabs>
                <w:tab w:val="left" w:pos="238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 xml:space="preserve">Përsa më sipër dhe bazuar në legjislacionin në fuqi, </w:t>
            </w:r>
            <w:r w:rsidRPr="00497B72">
              <w:rPr>
                <w:rFonts w:ascii="Times New Roman" w:hAnsi="Times New Roman" w:cs="Times New Roman"/>
                <w:b/>
                <w:sz w:val="24"/>
                <w:lang w:val="sq-AL"/>
              </w:rPr>
              <w:t>Bashkia Shkodër është autoriteti përgjegjës për administrimin e taksës mbi ndërtesat nën juridiksionin e saj, përmes mbledhjes dhe menaxhimit të informacioneve mbi ndërtesën për qëllime fiskale, si dhe Bashkia Shkodër duke përdorur të dhënat e mbledhura për ndërtesën/njësinë pasurore, përcakton bazën e taksës dhe llogarit shumën e taksës vjetore të ndërtesës për t’u paguar nga çdo taksapagues.</w:t>
            </w:r>
          </w:p>
          <w:p w14:paraId="3FF9D126" w14:textId="77777777" w:rsidR="000112E0" w:rsidRPr="00497B72" w:rsidRDefault="000112E0" w:rsidP="00497B72">
            <w:pPr>
              <w:tabs>
                <w:tab w:val="left" w:pos="238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 xml:space="preserve">Gjithashtu, sjellim në vëmendjen tuaj se me </w:t>
            </w: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lastRenderedPageBreak/>
              <w:t xml:space="preserve">anë të shkresës me Nr. 396 Prot., datë 23.07.2024 Drejtoria e Përgjithshme e Taksës së Pasurisë ka sqaruar Bashkinë Shkodër se </w:t>
            </w:r>
            <w:r w:rsidRPr="00497B72">
              <w:rPr>
                <w:rFonts w:ascii="Times New Roman" w:hAnsi="Times New Roman" w:cs="Times New Roman"/>
                <w:b/>
                <w:sz w:val="24"/>
                <w:lang w:val="sq-AL"/>
              </w:rPr>
              <w:t>njësitë e vetëqeverisjes vendore për taksën mbi pasurinë e paluajtshme duhet të zbatojnë parashikimet ligjore të Ligjit Nr. 9632, datë 30.10.2006, “Për sistemin e taksave vendore”, i ndryshuar, dhe parashikimet nënligjore të VKM Nr. 132, datë 07.03.2018 “Për metodologjinë për përcaktimin e vlerës së taksueshme të pasurisë së paluajtshme “ndërtesa”, e bazës së taksës për kategori specifike, natyrën dhe prioritetin e informacionit dhe të dhënave për përcaktimin e bazës së taksës, si dhe të kritereve dhe rregullave për vlerësimin alternativ të detyrimit të taksës”, i ndryshuar</w:t>
            </w: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 xml:space="preserve">. Për më tepër, me anë të kësaj shkrese </w:t>
            </w:r>
            <w:r w:rsidRPr="00497B72">
              <w:rPr>
                <w:rFonts w:ascii="Times New Roman" w:hAnsi="Times New Roman" w:cs="Times New Roman"/>
                <w:b/>
                <w:sz w:val="24"/>
                <w:lang w:val="sq-AL"/>
              </w:rPr>
              <w:t>Drejtoria e Përgjithshme e Taksës së Pasurisë ka sjellë përsëri në vëmendjen e Bashkisë Shkodër për njohje dhe zbatim parashikimet ligjore dhe nënligjore për taksën mbi pasurinë e paluajtshme.</w:t>
            </w:r>
          </w:p>
          <w:p w14:paraId="6DD9769E" w14:textId="77777777" w:rsidR="000112E0" w:rsidRPr="00497B72" w:rsidRDefault="000112E0" w:rsidP="0049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>Ndërkohë, bazuar në nenin 22/4, të Ligjit Nr. 9632/2006 dhe në pikën 3, të VKM Nr. 171, datë 28.03.2018, “Për organizimin dhe funksionimin e Drejtorisë Përgjithshme të Taksës së Pasurisë”, Drejtoria e Përgjithshme e Taksës së Pasurisë shpreh gatishmërinë e saj për të ofruar asistencën e saj për çdo paqartësi në lidhje me kuadrin ligjor të taksës mbi pasurinë e paluajtshme.</w:t>
            </w:r>
          </w:p>
          <w:p w14:paraId="67D3F7F6" w14:textId="77777777" w:rsidR="00F51EBE" w:rsidRPr="00497B72" w:rsidRDefault="00F51EBE" w:rsidP="00497B72">
            <w:pPr>
              <w:tabs>
                <w:tab w:val="left" w:pos="238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1276" w:type="dxa"/>
          </w:tcPr>
          <w:p w14:paraId="49DC91AD" w14:textId="6761D3F2" w:rsidR="00F51EBE" w:rsidRPr="00497B72" w:rsidRDefault="00F51EBE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lastRenderedPageBreak/>
              <w:t>E plotë</w:t>
            </w:r>
          </w:p>
        </w:tc>
        <w:tc>
          <w:tcPr>
            <w:tcW w:w="992" w:type="dxa"/>
          </w:tcPr>
          <w:p w14:paraId="2DCD769C" w14:textId="0F11B3B6" w:rsidR="00F51EBE" w:rsidRPr="00497B72" w:rsidRDefault="00F51EBE" w:rsidP="00497B72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497B72">
              <w:rPr>
                <w:rFonts w:ascii="Times New Roman" w:hAnsi="Times New Roman" w:cs="Times New Roman"/>
                <w:sz w:val="24"/>
                <w:lang w:val="sq-AL"/>
              </w:rPr>
              <w:t>Nuk ka</w:t>
            </w:r>
          </w:p>
        </w:tc>
      </w:tr>
    </w:tbl>
    <w:p w14:paraId="04D9B301" w14:textId="77777777" w:rsidR="00B45E29" w:rsidRPr="00497B72" w:rsidRDefault="00B45E29" w:rsidP="00497B72">
      <w:pPr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 w:rsidRPr="00497B72">
        <w:rPr>
          <w:rFonts w:ascii="Times New Roman" w:hAnsi="Times New Roman" w:cs="Times New Roman"/>
          <w:b/>
          <w:sz w:val="24"/>
          <w:lang w:val="sq-AL"/>
        </w:rPr>
        <w:lastRenderedPageBreak/>
        <w:t xml:space="preserve"> </w:t>
      </w:r>
    </w:p>
    <w:sectPr w:rsidR="00B45E29" w:rsidRPr="00497B72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F8E78" w14:textId="77777777" w:rsidR="00287BA5" w:rsidRDefault="00287BA5" w:rsidP="00C417B2">
      <w:pPr>
        <w:spacing w:after="0" w:line="240" w:lineRule="auto"/>
      </w:pPr>
      <w:r>
        <w:separator/>
      </w:r>
    </w:p>
  </w:endnote>
  <w:endnote w:type="continuationSeparator" w:id="0">
    <w:p w14:paraId="3BE46055" w14:textId="77777777" w:rsidR="00287BA5" w:rsidRDefault="00287BA5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25CB7" w14:textId="77777777" w:rsidR="00287BA5" w:rsidRDefault="00287BA5" w:rsidP="00C417B2">
      <w:pPr>
        <w:spacing w:after="0" w:line="240" w:lineRule="auto"/>
      </w:pPr>
      <w:r>
        <w:separator/>
      </w:r>
    </w:p>
  </w:footnote>
  <w:footnote w:type="continuationSeparator" w:id="0">
    <w:p w14:paraId="4626153D" w14:textId="77777777" w:rsidR="00287BA5" w:rsidRDefault="00287BA5" w:rsidP="00C417B2">
      <w:pPr>
        <w:spacing w:after="0" w:line="240" w:lineRule="auto"/>
      </w:pPr>
      <w:r>
        <w:continuationSeparator/>
      </w:r>
    </w:p>
  </w:footnote>
  <w:footnote w:id="1">
    <w:p w14:paraId="7512A140" w14:textId="77777777"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14:paraId="66C0FDE6" w14:textId="77777777"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14:paraId="14D93EE4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14:paraId="6D4E7E9A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14:paraId="775BC89D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14:paraId="172C13D1" w14:textId="77777777"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14:paraId="1100F83E" w14:textId="77777777"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4E28"/>
    <w:multiLevelType w:val="hybridMultilevel"/>
    <w:tmpl w:val="33546F1A"/>
    <w:lvl w:ilvl="0" w:tplc="A5EE367A">
      <w:start w:val="1"/>
      <w:numFmt w:val="decimal"/>
      <w:lvlText w:val="%1."/>
      <w:lvlJc w:val="left"/>
      <w:pPr>
        <w:ind w:left="589" w:hanging="349"/>
        <w:jc w:val="right"/>
      </w:pPr>
      <w:rPr>
        <w:rFonts w:hint="default"/>
        <w:spacing w:val="0"/>
        <w:w w:val="100"/>
        <w:lang w:val="sq-AL" w:eastAsia="en-US" w:bidi="ar-SA"/>
      </w:rPr>
    </w:lvl>
    <w:lvl w:ilvl="1" w:tplc="3A1A7B4E">
      <w:start w:val="1"/>
      <w:numFmt w:val="lowerLetter"/>
      <w:lvlText w:val="%2."/>
      <w:lvlJc w:val="left"/>
      <w:pPr>
        <w:ind w:left="845" w:hanging="271"/>
        <w:jc w:val="left"/>
      </w:pPr>
      <w:rPr>
        <w:rFonts w:hint="default"/>
        <w:spacing w:val="0"/>
        <w:w w:val="101"/>
        <w:lang w:val="sq-AL" w:eastAsia="en-US" w:bidi="ar-SA"/>
      </w:rPr>
    </w:lvl>
    <w:lvl w:ilvl="2" w:tplc="F0242A62">
      <w:numFmt w:val="bullet"/>
      <w:lvlText w:val="•"/>
      <w:lvlJc w:val="left"/>
      <w:pPr>
        <w:ind w:left="1920" w:hanging="271"/>
      </w:pPr>
      <w:rPr>
        <w:rFonts w:hint="default"/>
        <w:lang w:val="sq-AL" w:eastAsia="en-US" w:bidi="ar-SA"/>
      </w:rPr>
    </w:lvl>
    <w:lvl w:ilvl="3" w:tplc="645A2EAE">
      <w:numFmt w:val="bullet"/>
      <w:lvlText w:val="•"/>
      <w:lvlJc w:val="left"/>
      <w:pPr>
        <w:ind w:left="3000" w:hanging="271"/>
      </w:pPr>
      <w:rPr>
        <w:rFonts w:hint="default"/>
        <w:lang w:val="sq-AL" w:eastAsia="en-US" w:bidi="ar-SA"/>
      </w:rPr>
    </w:lvl>
    <w:lvl w:ilvl="4" w:tplc="2A94E3E2">
      <w:numFmt w:val="bullet"/>
      <w:lvlText w:val="•"/>
      <w:lvlJc w:val="left"/>
      <w:pPr>
        <w:ind w:left="4081" w:hanging="271"/>
      </w:pPr>
      <w:rPr>
        <w:rFonts w:hint="default"/>
        <w:lang w:val="sq-AL" w:eastAsia="en-US" w:bidi="ar-SA"/>
      </w:rPr>
    </w:lvl>
    <w:lvl w:ilvl="5" w:tplc="E3DAE1D4">
      <w:numFmt w:val="bullet"/>
      <w:lvlText w:val="•"/>
      <w:lvlJc w:val="left"/>
      <w:pPr>
        <w:ind w:left="5161" w:hanging="271"/>
      </w:pPr>
      <w:rPr>
        <w:rFonts w:hint="default"/>
        <w:lang w:val="sq-AL" w:eastAsia="en-US" w:bidi="ar-SA"/>
      </w:rPr>
    </w:lvl>
    <w:lvl w:ilvl="6" w:tplc="FD30BB00">
      <w:numFmt w:val="bullet"/>
      <w:lvlText w:val="•"/>
      <w:lvlJc w:val="left"/>
      <w:pPr>
        <w:ind w:left="6242" w:hanging="271"/>
      </w:pPr>
      <w:rPr>
        <w:rFonts w:hint="default"/>
        <w:lang w:val="sq-AL" w:eastAsia="en-US" w:bidi="ar-SA"/>
      </w:rPr>
    </w:lvl>
    <w:lvl w:ilvl="7" w:tplc="6D7EDEA0">
      <w:numFmt w:val="bullet"/>
      <w:lvlText w:val="•"/>
      <w:lvlJc w:val="left"/>
      <w:pPr>
        <w:ind w:left="7322" w:hanging="271"/>
      </w:pPr>
      <w:rPr>
        <w:rFonts w:hint="default"/>
        <w:lang w:val="sq-AL" w:eastAsia="en-US" w:bidi="ar-SA"/>
      </w:rPr>
    </w:lvl>
    <w:lvl w:ilvl="8" w:tplc="5D529728">
      <w:numFmt w:val="bullet"/>
      <w:lvlText w:val="•"/>
      <w:lvlJc w:val="left"/>
      <w:pPr>
        <w:ind w:left="8403" w:hanging="271"/>
      </w:pPr>
      <w:rPr>
        <w:rFonts w:hint="default"/>
        <w:lang w:val="sq-AL" w:eastAsia="en-US" w:bidi="ar-SA"/>
      </w:rPr>
    </w:lvl>
  </w:abstractNum>
  <w:abstractNum w:abstractNumId="1" w15:restartNumberingAfterBreak="0">
    <w:nsid w:val="36564C24"/>
    <w:multiLevelType w:val="hybridMultilevel"/>
    <w:tmpl w:val="AC70F9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B1C7C"/>
    <w:multiLevelType w:val="hybridMultilevel"/>
    <w:tmpl w:val="D0DAC4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22544B"/>
    <w:multiLevelType w:val="hybridMultilevel"/>
    <w:tmpl w:val="8138D0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5F5163"/>
    <w:multiLevelType w:val="hybridMultilevel"/>
    <w:tmpl w:val="15BC5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F7"/>
    <w:rsid w:val="000112E0"/>
    <w:rsid w:val="00033159"/>
    <w:rsid w:val="000548CD"/>
    <w:rsid w:val="000972CB"/>
    <w:rsid w:val="000E0539"/>
    <w:rsid w:val="000F245E"/>
    <w:rsid w:val="00134F00"/>
    <w:rsid w:val="0016587F"/>
    <w:rsid w:val="00173995"/>
    <w:rsid w:val="001A0CE6"/>
    <w:rsid w:val="001C17F3"/>
    <w:rsid w:val="001D3B66"/>
    <w:rsid w:val="001D7988"/>
    <w:rsid w:val="0021270B"/>
    <w:rsid w:val="00227DB2"/>
    <w:rsid w:val="00246DF7"/>
    <w:rsid w:val="0025458A"/>
    <w:rsid w:val="00256DCC"/>
    <w:rsid w:val="002745FB"/>
    <w:rsid w:val="00281593"/>
    <w:rsid w:val="00287BA5"/>
    <w:rsid w:val="002A07F2"/>
    <w:rsid w:val="002E5657"/>
    <w:rsid w:val="002F25BB"/>
    <w:rsid w:val="002F4931"/>
    <w:rsid w:val="00302D5F"/>
    <w:rsid w:val="00372170"/>
    <w:rsid w:val="003F78F7"/>
    <w:rsid w:val="0042349A"/>
    <w:rsid w:val="00423DEF"/>
    <w:rsid w:val="004256FF"/>
    <w:rsid w:val="004262FD"/>
    <w:rsid w:val="0043268E"/>
    <w:rsid w:val="00442A18"/>
    <w:rsid w:val="0047653C"/>
    <w:rsid w:val="00497B72"/>
    <w:rsid w:val="004F0B5B"/>
    <w:rsid w:val="00581BEA"/>
    <w:rsid w:val="005B44B6"/>
    <w:rsid w:val="005D167A"/>
    <w:rsid w:val="005E3F62"/>
    <w:rsid w:val="005E4EA0"/>
    <w:rsid w:val="006277FD"/>
    <w:rsid w:val="00640F0E"/>
    <w:rsid w:val="00644275"/>
    <w:rsid w:val="006739FB"/>
    <w:rsid w:val="006F3CBE"/>
    <w:rsid w:val="00714F62"/>
    <w:rsid w:val="007328B6"/>
    <w:rsid w:val="007335CE"/>
    <w:rsid w:val="00770237"/>
    <w:rsid w:val="007E493B"/>
    <w:rsid w:val="0080682E"/>
    <w:rsid w:val="00822F90"/>
    <w:rsid w:val="00830BF9"/>
    <w:rsid w:val="008560B1"/>
    <w:rsid w:val="00895295"/>
    <w:rsid w:val="008B42D1"/>
    <w:rsid w:val="008C1F02"/>
    <w:rsid w:val="008C79E8"/>
    <w:rsid w:val="008E2CFE"/>
    <w:rsid w:val="009303E2"/>
    <w:rsid w:val="00953906"/>
    <w:rsid w:val="00972C40"/>
    <w:rsid w:val="0099345C"/>
    <w:rsid w:val="009A132D"/>
    <w:rsid w:val="009A6313"/>
    <w:rsid w:val="009C555D"/>
    <w:rsid w:val="00A24C88"/>
    <w:rsid w:val="00A36EBE"/>
    <w:rsid w:val="00A83958"/>
    <w:rsid w:val="00A964E0"/>
    <w:rsid w:val="00AA5385"/>
    <w:rsid w:val="00AB2194"/>
    <w:rsid w:val="00AB48BD"/>
    <w:rsid w:val="00AB6C52"/>
    <w:rsid w:val="00AD19BD"/>
    <w:rsid w:val="00AD2861"/>
    <w:rsid w:val="00AE2615"/>
    <w:rsid w:val="00B154B0"/>
    <w:rsid w:val="00B30C05"/>
    <w:rsid w:val="00B40396"/>
    <w:rsid w:val="00B45E29"/>
    <w:rsid w:val="00B57530"/>
    <w:rsid w:val="00B74BA9"/>
    <w:rsid w:val="00B8307B"/>
    <w:rsid w:val="00BC7A56"/>
    <w:rsid w:val="00BE1E92"/>
    <w:rsid w:val="00BF6803"/>
    <w:rsid w:val="00C060DD"/>
    <w:rsid w:val="00C07326"/>
    <w:rsid w:val="00C34E24"/>
    <w:rsid w:val="00C35726"/>
    <w:rsid w:val="00C417B2"/>
    <w:rsid w:val="00C461C6"/>
    <w:rsid w:val="00C7393C"/>
    <w:rsid w:val="00C75058"/>
    <w:rsid w:val="00C852C8"/>
    <w:rsid w:val="00CA03A7"/>
    <w:rsid w:val="00CB6255"/>
    <w:rsid w:val="00CF1D79"/>
    <w:rsid w:val="00D22ACD"/>
    <w:rsid w:val="00D41F11"/>
    <w:rsid w:val="00D90808"/>
    <w:rsid w:val="00DD538C"/>
    <w:rsid w:val="00DE26E2"/>
    <w:rsid w:val="00DF38D5"/>
    <w:rsid w:val="00E034D3"/>
    <w:rsid w:val="00E047E9"/>
    <w:rsid w:val="00E11894"/>
    <w:rsid w:val="00E36927"/>
    <w:rsid w:val="00E440A8"/>
    <w:rsid w:val="00E868C6"/>
    <w:rsid w:val="00EB11DD"/>
    <w:rsid w:val="00EE5BEE"/>
    <w:rsid w:val="00F01433"/>
    <w:rsid w:val="00F07D7D"/>
    <w:rsid w:val="00F13C0A"/>
    <w:rsid w:val="00F20D0A"/>
    <w:rsid w:val="00F276FA"/>
    <w:rsid w:val="00F44ADF"/>
    <w:rsid w:val="00F47755"/>
    <w:rsid w:val="00F51EBE"/>
    <w:rsid w:val="00FA08DB"/>
    <w:rsid w:val="00FA68B8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D1BA"/>
  <w15:docId w15:val="{5A521922-D32A-4C41-87B1-105D888E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C7A56"/>
    <w:pPr>
      <w:widowControl w:val="0"/>
      <w:autoSpaceDE w:val="0"/>
      <w:autoSpaceDN w:val="0"/>
      <w:spacing w:after="0" w:line="240" w:lineRule="auto"/>
      <w:ind w:left="797" w:right="1916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ListParagraph">
    <w:name w:val="List Paragraph"/>
    <w:basedOn w:val="Normal"/>
    <w:uiPriority w:val="1"/>
    <w:qFormat/>
    <w:rsid w:val="004256FF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fi">
    <w:name w:val="Paragrafi"/>
    <w:link w:val="ParagrafiChar"/>
    <w:rsid w:val="00AB2194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link w:val="Paragrafi"/>
    <w:rsid w:val="00AB2194"/>
    <w:rPr>
      <w:rFonts w:ascii="CG Times" w:eastAsia="Times New Roman" w:hAnsi="CG Times" w:cs="Times New Roman"/>
      <w:szCs w:val="20"/>
    </w:rPr>
  </w:style>
  <w:style w:type="character" w:customStyle="1" w:styleId="fontstyle01">
    <w:name w:val="fontstyle01"/>
    <w:basedOn w:val="DefaultParagraphFont"/>
    <w:rsid w:val="000112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7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BC7A56"/>
    <w:rPr>
      <w:rFonts w:ascii="Times New Roman" w:eastAsia="Times New Roman" w:hAnsi="Times New Roman" w:cs="Times New Roman"/>
      <w:sz w:val="23"/>
      <w:szCs w:val="23"/>
      <w:lang w:val="sq-AL"/>
    </w:rPr>
  </w:style>
  <w:style w:type="character" w:customStyle="1" w:styleId="Heading1Char">
    <w:name w:val="Heading 1 Char"/>
    <w:basedOn w:val="DefaultParagraphFont"/>
    <w:link w:val="Heading1"/>
    <w:uiPriority w:val="1"/>
    <w:rsid w:val="00BC7A56"/>
    <w:rPr>
      <w:rFonts w:ascii="Times New Roman" w:eastAsia="Times New Roman" w:hAnsi="Times New Roman" w:cs="Times New Roman"/>
      <w:b/>
      <w:bCs/>
      <w:sz w:val="23"/>
      <w:szCs w:val="23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D255-2D00-4590-BECB-0F09587F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2025-04-08T12:02:00Z</dcterms:created>
  <dcterms:modified xsi:type="dcterms:W3CDTF">2025-04-09T11:15:00Z</dcterms:modified>
</cp:coreProperties>
</file>